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8ACD" w14:textId="77777777" w:rsidR="00FD18E4" w:rsidRPr="00FD18E4" w:rsidRDefault="00FD18E4" w:rsidP="00F761C7">
      <w:pPr>
        <w:spacing w:after="0"/>
        <w:rPr>
          <w:b/>
          <w:sz w:val="28"/>
        </w:rPr>
      </w:pPr>
      <w:r w:rsidRPr="00FD18E4">
        <w:rPr>
          <w:b/>
          <w:sz w:val="28"/>
        </w:rPr>
        <w:t xml:space="preserve">No deaf child left behind – proposal for a central bursary scheme to cover the training costs of Teachers of the Deaf </w:t>
      </w:r>
    </w:p>
    <w:p w14:paraId="5800864E" w14:textId="77777777" w:rsidR="00FD18E4" w:rsidRDefault="00FD18E4" w:rsidP="00F761C7">
      <w:pPr>
        <w:spacing w:after="0"/>
        <w:rPr>
          <w:b/>
        </w:rPr>
      </w:pPr>
    </w:p>
    <w:p w14:paraId="272D4224" w14:textId="77777777" w:rsidR="00200097" w:rsidRPr="00F508A2" w:rsidRDefault="00F508A2" w:rsidP="00F761C7">
      <w:pPr>
        <w:spacing w:after="0"/>
        <w:rPr>
          <w:b/>
        </w:rPr>
      </w:pPr>
      <w:r w:rsidRPr="00F508A2">
        <w:rPr>
          <w:b/>
        </w:rPr>
        <w:t xml:space="preserve">Summary </w:t>
      </w:r>
    </w:p>
    <w:p w14:paraId="0E4F36D3" w14:textId="77777777" w:rsidR="00F761C7" w:rsidRDefault="00F761C7" w:rsidP="00F761C7">
      <w:pPr>
        <w:spacing w:after="0"/>
      </w:pPr>
    </w:p>
    <w:p w14:paraId="0FF6E4AB" w14:textId="6777BF01" w:rsidR="00F508A2" w:rsidRDefault="00F508A2" w:rsidP="00F761C7">
      <w:pPr>
        <w:spacing w:after="0"/>
      </w:pPr>
      <w:r>
        <w:t xml:space="preserve">This paper </w:t>
      </w:r>
      <w:r w:rsidR="00CD46B6">
        <w:t xml:space="preserve">proposes </w:t>
      </w:r>
      <w:r>
        <w:t>the introduction of a bursary scheme to fund the training costs of Teachers of the Deaf</w:t>
      </w:r>
      <w:r w:rsidR="00FB6E62">
        <w:t xml:space="preserve"> in England</w:t>
      </w:r>
      <w:r>
        <w:t xml:space="preserve">. </w:t>
      </w:r>
    </w:p>
    <w:p w14:paraId="0DAF2773" w14:textId="77777777" w:rsidR="00F761C7" w:rsidRDefault="00F761C7" w:rsidP="00F761C7">
      <w:pPr>
        <w:spacing w:after="0"/>
      </w:pPr>
    </w:p>
    <w:p w14:paraId="13892A84" w14:textId="77777777" w:rsidR="00F508A2" w:rsidRDefault="00F508A2" w:rsidP="00F761C7">
      <w:pPr>
        <w:spacing w:after="0"/>
      </w:pPr>
      <w:r>
        <w:t>We believe a central bursa</w:t>
      </w:r>
      <w:r w:rsidR="00FD18E4">
        <w:t>ry scheme is needed for the following reasons:</w:t>
      </w:r>
    </w:p>
    <w:p w14:paraId="1030C53A" w14:textId="77777777" w:rsidR="00F761C7" w:rsidRDefault="00F761C7" w:rsidP="00F761C7">
      <w:pPr>
        <w:spacing w:after="0"/>
      </w:pPr>
    </w:p>
    <w:p w14:paraId="3A0AE92F" w14:textId="77777777" w:rsidR="00F508A2" w:rsidRDefault="00FD18E4" w:rsidP="00F761C7">
      <w:pPr>
        <w:pStyle w:val="ListParagraph"/>
        <w:numPr>
          <w:ilvl w:val="0"/>
          <w:numId w:val="30"/>
        </w:numPr>
        <w:spacing w:after="0"/>
      </w:pPr>
      <w:r>
        <w:t xml:space="preserve">there has been </w:t>
      </w:r>
      <w:r w:rsidR="00F508A2">
        <w:t>a 14% decline in the number of qualified Teachers of the Deaf in England in the past 7 years</w:t>
      </w:r>
    </w:p>
    <w:p w14:paraId="4FA082DF" w14:textId="59556570" w:rsidR="008F5E40" w:rsidRDefault="008F5E40" w:rsidP="00F761C7">
      <w:pPr>
        <w:pStyle w:val="ListParagraph"/>
        <w:numPr>
          <w:ilvl w:val="0"/>
          <w:numId w:val="30"/>
        </w:numPr>
        <w:spacing w:after="0"/>
      </w:pPr>
      <w:r>
        <w:t xml:space="preserve">45% of services in England </w:t>
      </w:r>
      <w:r w:rsidR="00FD18E4">
        <w:t>are reporting</w:t>
      </w:r>
      <w:r>
        <w:t xml:space="preserve"> difficulties in recruiting Teachers of the Deaf or supply cov</w:t>
      </w:r>
      <w:r w:rsidR="007625A5">
        <w:t>er over the previous 12 months</w:t>
      </w:r>
    </w:p>
    <w:p w14:paraId="5BC973D6" w14:textId="77777777" w:rsidR="00F508A2" w:rsidRDefault="00FD18E4" w:rsidP="00F761C7">
      <w:pPr>
        <w:pStyle w:val="ListParagraph"/>
        <w:numPr>
          <w:ilvl w:val="0"/>
          <w:numId w:val="30"/>
        </w:numPr>
        <w:spacing w:after="0"/>
      </w:pPr>
      <w:r>
        <w:t>over</w:t>
      </w:r>
      <w:r w:rsidR="00F508A2">
        <w:t xml:space="preserve"> half of all Teachers of the Deaf are due to retire</w:t>
      </w:r>
      <w:r>
        <w:t xml:space="preserve"> in the next 10 to 15 years</w:t>
      </w:r>
    </w:p>
    <w:p w14:paraId="5A6DB5E0" w14:textId="77777777" w:rsidR="00F508A2" w:rsidRDefault="00FD18E4" w:rsidP="00F761C7">
      <w:pPr>
        <w:pStyle w:val="ListParagraph"/>
        <w:numPr>
          <w:ilvl w:val="0"/>
          <w:numId w:val="30"/>
        </w:numPr>
        <w:spacing w:after="0"/>
      </w:pPr>
      <w:r>
        <w:t xml:space="preserve">research by the National Sensory Impairment Partnership (NatSIP) has uncovered </w:t>
      </w:r>
      <w:r w:rsidR="00F508A2">
        <w:t>evidence that local authorities are failing to plan for future workforce needs.</w:t>
      </w:r>
    </w:p>
    <w:p w14:paraId="3DE74A1C" w14:textId="77777777" w:rsidR="00F761C7" w:rsidRDefault="00F761C7" w:rsidP="00F761C7">
      <w:pPr>
        <w:spacing w:after="0"/>
      </w:pPr>
    </w:p>
    <w:p w14:paraId="1CF09E4D" w14:textId="76D1172B" w:rsidR="007625A5" w:rsidRDefault="00F761C7" w:rsidP="00F761C7">
      <w:pPr>
        <w:spacing w:after="0"/>
      </w:pPr>
      <w:r>
        <w:t>A central bursary scheme could be delivered at a cost of</w:t>
      </w:r>
      <w:r w:rsidR="007625A5">
        <w:t xml:space="preserve"> </w:t>
      </w:r>
      <w:r w:rsidR="00A332A9">
        <w:t xml:space="preserve">£3.5 </w:t>
      </w:r>
      <w:r w:rsidR="007625A5">
        <w:t xml:space="preserve">million over a three-year period. This paper also proposes that work is undertaken to explore with training providers if an apprenticeship pathway for new Teachers of the Deaf can be established, as a long-term solution to the issues this paper identifies. </w:t>
      </w:r>
    </w:p>
    <w:p w14:paraId="0BC2E96F" w14:textId="77777777" w:rsidR="00F761C7" w:rsidRDefault="00F761C7" w:rsidP="00F761C7">
      <w:pPr>
        <w:spacing w:after="0"/>
      </w:pPr>
    </w:p>
    <w:p w14:paraId="4F821194" w14:textId="19DE923C" w:rsidR="00F761C7" w:rsidRDefault="00F761C7" w:rsidP="00F761C7">
      <w:pPr>
        <w:spacing w:after="0"/>
      </w:pPr>
      <w:r>
        <w:t>This paper has been jointly produced by the National Deaf Children’s Society and the British Association of Teachers of the Deaf (BATOD).</w:t>
      </w:r>
    </w:p>
    <w:p w14:paraId="4BE934D4" w14:textId="77777777" w:rsidR="00F761C7" w:rsidRDefault="00F761C7" w:rsidP="00F761C7">
      <w:pPr>
        <w:spacing w:after="0"/>
      </w:pPr>
    </w:p>
    <w:p w14:paraId="4C9C8F98" w14:textId="77777777" w:rsidR="00F508A2" w:rsidRDefault="00F508A2" w:rsidP="00FD18E4">
      <w:pPr>
        <w:pBdr>
          <w:top w:val="single" w:sz="4" w:space="1" w:color="auto"/>
          <w:left w:val="single" w:sz="4" w:space="1" w:color="auto"/>
          <w:bottom w:val="single" w:sz="4" w:space="1" w:color="auto"/>
          <w:right w:val="single" w:sz="4" w:space="1" w:color="auto"/>
        </w:pBdr>
        <w:spacing w:after="0"/>
        <w:rPr>
          <w:b/>
        </w:rPr>
      </w:pPr>
      <w:r w:rsidRPr="00036E06">
        <w:rPr>
          <w:b/>
        </w:rPr>
        <w:t>Key facts</w:t>
      </w:r>
    </w:p>
    <w:p w14:paraId="2D3D873F" w14:textId="77777777" w:rsidR="00F508A2" w:rsidRPr="00036E06" w:rsidRDefault="00F508A2" w:rsidP="00FD18E4">
      <w:pPr>
        <w:pBdr>
          <w:top w:val="single" w:sz="4" w:space="1" w:color="auto"/>
          <w:left w:val="single" w:sz="4" w:space="1" w:color="auto"/>
          <w:bottom w:val="single" w:sz="4" w:space="1" w:color="auto"/>
          <w:right w:val="single" w:sz="4" w:space="1" w:color="auto"/>
        </w:pBdr>
        <w:spacing w:after="0"/>
        <w:rPr>
          <w:b/>
        </w:rPr>
      </w:pPr>
    </w:p>
    <w:p w14:paraId="2C7A4B3D" w14:textId="39CECAEB" w:rsidR="00F508A2" w:rsidRDefault="00F508A2" w:rsidP="00FD18E4">
      <w:pPr>
        <w:pStyle w:val="ListParagraph"/>
        <w:numPr>
          <w:ilvl w:val="0"/>
          <w:numId w:val="29"/>
        </w:numPr>
        <w:pBdr>
          <w:top w:val="single" w:sz="4" w:space="1" w:color="auto"/>
          <w:left w:val="single" w:sz="4" w:space="1" w:color="auto"/>
          <w:bottom w:val="single" w:sz="4" w:space="1" w:color="auto"/>
          <w:right w:val="single" w:sz="4" w:space="1" w:color="auto"/>
        </w:pBdr>
        <w:spacing w:after="0"/>
      </w:pPr>
      <w:r>
        <w:t xml:space="preserve">There are approximately </w:t>
      </w:r>
      <w:r w:rsidR="00597B7A">
        <w:t>around 1,0</w:t>
      </w:r>
      <w:bookmarkStart w:id="0" w:name="_GoBack"/>
      <w:bookmarkEnd w:id="0"/>
      <w:r w:rsidR="00F761C7">
        <w:t>50</w:t>
      </w:r>
      <w:r>
        <w:t xml:space="preserve"> Teachers of the Deaf across</w:t>
      </w:r>
      <w:r w:rsidR="00A332A9">
        <w:t xml:space="preserve"> England working in a peripatetic role and/or in resource provisions. </w:t>
      </w:r>
    </w:p>
    <w:p w14:paraId="6AA52458" w14:textId="77777777" w:rsidR="00F508A2" w:rsidRDefault="00F761C7" w:rsidP="00FD18E4">
      <w:pPr>
        <w:pStyle w:val="ListParagraph"/>
        <w:numPr>
          <w:ilvl w:val="0"/>
          <w:numId w:val="29"/>
        </w:numPr>
        <w:pBdr>
          <w:top w:val="single" w:sz="4" w:space="1" w:color="auto"/>
          <w:left w:val="single" w:sz="4" w:space="1" w:color="auto"/>
          <w:bottom w:val="single" w:sz="4" w:space="1" w:color="auto"/>
          <w:right w:val="single" w:sz="4" w:space="1" w:color="auto"/>
        </w:pBdr>
        <w:spacing w:after="0"/>
      </w:pPr>
      <w:r>
        <w:t>87</w:t>
      </w:r>
      <w:r w:rsidR="00F508A2">
        <w:t>% are qualified Teachers of the Deaf while 1</w:t>
      </w:r>
      <w:r>
        <w:t>2</w:t>
      </w:r>
      <w:r w:rsidR="00F508A2">
        <w:t xml:space="preserve">% are in training. 1% are working as Teachers of the Deaf but are neither qualified nor in training. </w:t>
      </w:r>
    </w:p>
    <w:p w14:paraId="5C704538" w14:textId="77777777" w:rsidR="00AC59E6" w:rsidRDefault="00FD18E4" w:rsidP="00FD18E4">
      <w:pPr>
        <w:pStyle w:val="ListParagraph"/>
        <w:numPr>
          <w:ilvl w:val="0"/>
          <w:numId w:val="29"/>
        </w:numPr>
        <w:pBdr>
          <w:top w:val="single" w:sz="4" w:space="1" w:color="auto"/>
          <w:left w:val="single" w:sz="4" w:space="1" w:color="auto"/>
          <w:bottom w:val="single" w:sz="4" w:space="1" w:color="auto"/>
          <w:right w:val="single" w:sz="4" w:space="1" w:color="auto"/>
        </w:pBdr>
        <w:spacing w:after="0"/>
      </w:pPr>
      <w:r>
        <w:t xml:space="preserve">Half of Teachers of the Deaf work in a ‘peripatetic’ or visiting role, providing support to families in the early years and to deaf children and their teachers in mainstream schools. </w:t>
      </w:r>
      <w:r w:rsidR="00AC59E6">
        <w:t>Around 2</w:t>
      </w:r>
      <w:r w:rsidR="00F761C7">
        <w:t>8</w:t>
      </w:r>
      <w:r w:rsidR="00AC59E6">
        <w:t>% wo</w:t>
      </w:r>
      <w:r w:rsidR="00F761C7">
        <w:t>rk in resource provisions and 18</w:t>
      </w:r>
      <w:r w:rsidR="00AC59E6">
        <w:t xml:space="preserve">% in special schools for deaf children. Other settings that Teachers of the Deaf work in will include special schools or colleges not specifically for deaf children, cochlear implant centres and charities. </w:t>
      </w:r>
    </w:p>
    <w:p w14:paraId="5A1C5BD8" w14:textId="77777777" w:rsidR="00F508A2" w:rsidRDefault="00F508A2" w:rsidP="00FD18E4">
      <w:pPr>
        <w:pStyle w:val="ListParagraph"/>
        <w:numPr>
          <w:ilvl w:val="0"/>
          <w:numId w:val="29"/>
        </w:numPr>
        <w:pBdr>
          <w:top w:val="single" w:sz="4" w:space="1" w:color="auto"/>
          <w:left w:val="single" w:sz="4" w:space="1" w:color="auto"/>
          <w:bottom w:val="single" w:sz="4" w:space="1" w:color="auto"/>
          <w:right w:val="single" w:sz="4" w:space="1" w:color="auto"/>
        </w:pBdr>
        <w:spacing w:after="0"/>
      </w:pPr>
      <w:r>
        <w:t>56% of</w:t>
      </w:r>
      <w:r w:rsidR="00F761C7">
        <w:t xml:space="preserve"> peripatetic</w:t>
      </w:r>
      <w:r>
        <w:t xml:space="preserve"> Teachers of the Deaf are over the age of 50 and hence are due to retire in the next 10 to 15 years. </w:t>
      </w:r>
    </w:p>
    <w:p w14:paraId="0CFC59E5" w14:textId="77777777" w:rsidR="00F761C7" w:rsidRDefault="00F761C7" w:rsidP="00FD18E4">
      <w:pPr>
        <w:numPr>
          <w:ilvl w:val="0"/>
          <w:numId w:val="29"/>
        </w:numPr>
        <w:pBdr>
          <w:top w:val="single" w:sz="4" w:space="1" w:color="auto"/>
          <w:left w:val="single" w:sz="4" w:space="1" w:color="auto"/>
          <w:bottom w:val="single" w:sz="4" w:space="1" w:color="auto"/>
          <w:right w:val="single" w:sz="4" w:space="1" w:color="auto"/>
        </w:pBdr>
        <w:spacing w:after="0"/>
        <w:jc w:val="both"/>
        <w:rPr>
          <w:rFonts w:cs="Arial"/>
        </w:rPr>
      </w:pPr>
      <w:r>
        <w:rPr>
          <w:rFonts w:cs="Arial"/>
        </w:rPr>
        <w:t xml:space="preserve">There are more than 45,000 deaf children across England. </w:t>
      </w:r>
    </w:p>
    <w:p w14:paraId="4811534C" w14:textId="77777777" w:rsidR="00F761C7" w:rsidRDefault="00F761C7" w:rsidP="00FD18E4">
      <w:pPr>
        <w:numPr>
          <w:ilvl w:val="0"/>
          <w:numId w:val="29"/>
        </w:numPr>
        <w:pBdr>
          <w:top w:val="single" w:sz="4" w:space="1" w:color="auto"/>
          <w:left w:val="single" w:sz="4" w:space="1" w:color="auto"/>
          <w:bottom w:val="single" w:sz="4" w:space="1" w:color="auto"/>
          <w:right w:val="single" w:sz="4" w:space="1" w:color="auto"/>
        </w:pBdr>
        <w:spacing w:after="0"/>
        <w:jc w:val="both"/>
        <w:rPr>
          <w:rFonts w:cs="Arial"/>
        </w:rPr>
      </w:pPr>
      <w:r>
        <w:rPr>
          <w:rFonts w:cs="Arial"/>
        </w:rPr>
        <w:t xml:space="preserve">Over 90% of deaf children are born to hearing parents who have no prior experience of deafness. These parents rely on advice from specialist Teachers of the Deaf to support their child’s language and communication skills. </w:t>
      </w:r>
    </w:p>
    <w:p w14:paraId="5BB571C9" w14:textId="04BE9322" w:rsidR="00F761C7" w:rsidRDefault="00F761C7" w:rsidP="00FD18E4">
      <w:pPr>
        <w:numPr>
          <w:ilvl w:val="0"/>
          <w:numId w:val="29"/>
        </w:numPr>
        <w:pBdr>
          <w:top w:val="single" w:sz="4" w:space="1" w:color="auto"/>
          <w:left w:val="single" w:sz="4" w:space="1" w:color="auto"/>
          <w:bottom w:val="single" w:sz="4" w:space="1" w:color="auto"/>
          <w:right w:val="single" w:sz="4" w:space="1" w:color="auto"/>
        </w:pBdr>
        <w:spacing w:after="0"/>
        <w:jc w:val="both"/>
        <w:rPr>
          <w:rFonts w:cs="Arial"/>
        </w:rPr>
      </w:pPr>
      <w:r>
        <w:rPr>
          <w:rFonts w:cs="Arial"/>
        </w:rPr>
        <w:t>Around 80% of deaf children attend mainstream schools, where they may be the only deaf child enrolled. Teachers of the Deaf play a key role in helping all teachers to understand how to differentiate the curriculum and provide effective support</w:t>
      </w:r>
      <w:r w:rsidR="00AF5ED4">
        <w:rPr>
          <w:rFonts w:cs="Arial"/>
        </w:rPr>
        <w:t>,</w:t>
      </w:r>
      <w:r w:rsidR="00CD46B6">
        <w:rPr>
          <w:rFonts w:cs="Arial"/>
        </w:rPr>
        <w:t xml:space="preserve"> as well as </w:t>
      </w:r>
      <w:r w:rsidR="00AF5ED4">
        <w:rPr>
          <w:rFonts w:cs="Arial"/>
        </w:rPr>
        <w:t xml:space="preserve">directly </w:t>
      </w:r>
      <w:r w:rsidR="00CD46B6">
        <w:rPr>
          <w:rFonts w:cs="Arial"/>
        </w:rPr>
        <w:t>providing one-to-one support</w:t>
      </w:r>
      <w:r w:rsidR="00AF5ED4">
        <w:rPr>
          <w:rFonts w:cs="Arial"/>
        </w:rPr>
        <w:t xml:space="preserve"> to children</w:t>
      </w:r>
      <w:r>
        <w:rPr>
          <w:rFonts w:cs="Arial"/>
        </w:rPr>
        <w:t xml:space="preserve">. </w:t>
      </w:r>
    </w:p>
    <w:p w14:paraId="5ADB0A6E" w14:textId="77777777" w:rsidR="00F508A2" w:rsidRPr="00396503" w:rsidRDefault="00F508A2" w:rsidP="00F761C7">
      <w:pPr>
        <w:spacing w:after="0"/>
        <w:rPr>
          <w:b/>
        </w:rPr>
      </w:pPr>
      <w:r>
        <w:rPr>
          <w:b/>
        </w:rPr>
        <w:lastRenderedPageBreak/>
        <w:br/>
      </w:r>
      <w:r w:rsidRPr="00396503">
        <w:rPr>
          <w:b/>
        </w:rPr>
        <w:t xml:space="preserve">Background </w:t>
      </w:r>
    </w:p>
    <w:p w14:paraId="202BF2B5" w14:textId="77777777" w:rsidR="00F508A2" w:rsidRDefault="00F508A2" w:rsidP="00F761C7">
      <w:pPr>
        <w:spacing w:after="0"/>
      </w:pPr>
    </w:p>
    <w:p w14:paraId="510ACDF0" w14:textId="77777777" w:rsidR="00F508A2" w:rsidRPr="00BF20AA" w:rsidRDefault="00F508A2" w:rsidP="00F761C7">
      <w:pPr>
        <w:spacing w:after="0"/>
      </w:pPr>
      <w:r>
        <w:t xml:space="preserve">Teachers of the Deaf are teachers who have gained an additional qualification (usually known as the ‘mandatory qualification’) in teaching deaf children. </w:t>
      </w:r>
    </w:p>
    <w:p w14:paraId="268B5545" w14:textId="77777777" w:rsidR="00F508A2" w:rsidRDefault="00F508A2" w:rsidP="00F761C7">
      <w:pPr>
        <w:spacing w:after="0"/>
      </w:pPr>
    </w:p>
    <w:p w14:paraId="4A52ECD1" w14:textId="5CE5EF8F" w:rsidR="00F508A2" w:rsidRDefault="00F508A2" w:rsidP="00F761C7">
      <w:pPr>
        <w:spacing w:after="0"/>
      </w:pPr>
      <w:r>
        <w:t xml:space="preserve">In England, legislation requires that teachers of classes of deaf children (i.e. those in resource provisions or special schools) must hold the mandatory qualification or be in training to gain the qualification within three years. Peripatetic Teachers of the Deaf aren’t required to hold the qualification but it is </w:t>
      </w:r>
      <w:r w:rsidR="003E4D1E">
        <w:t xml:space="preserve">strongly </w:t>
      </w:r>
      <w:r>
        <w:t xml:space="preserve">recommended in statutory guidance. </w:t>
      </w:r>
    </w:p>
    <w:p w14:paraId="6A53E2F8" w14:textId="77777777" w:rsidR="00F508A2" w:rsidRDefault="00F508A2" w:rsidP="00F761C7">
      <w:pPr>
        <w:spacing w:after="0"/>
      </w:pPr>
    </w:p>
    <w:p w14:paraId="21FD78EA" w14:textId="77777777" w:rsidR="007625A5" w:rsidRDefault="00F508A2" w:rsidP="00F761C7">
      <w:pPr>
        <w:spacing w:after="0"/>
      </w:pPr>
      <w:r>
        <w:t xml:space="preserve">As a low-incidence disability, deaf children are spread unevenly through the school population. Most mainstream teachers will not be teaching a deaf child at any one time and may only do so occasionally. They will have relatively few opportunities to apply any knowledge or expertise they have </w:t>
      </w:r>
      <w:r w:rsidR="00FD18E4">
        <w:t xml:space="preserve">previously </w:t>
      </w:r>
      <w:r>
        <w:t xml:space="preserve">acquired on effective practice in teaching or supporting deaf children. </w:t>
      </w:r>
    </w:p>
    <w:p w14:paraId="6CBC8C40" w14:textId="77777777" w:rsidR="007625A5" w:rsidRDefault="007625A5" w:rsidP="00F761C7">
      <w:pPr>
        <w:spacing w:after="0"/>
      </w:pPr>
    </w:p>
    <w:p w14:paraId="2F372427" w14:textId="741ED44B" w:rsidR="00F508A2" w:rsidRPr="005B5B0B" w:rsidRDefault="00F508A2" w:rsidP="00F761C7">
      <w:pPr>
        <w:spacing w:after="0"/>
      </w:pPr>
      <w:r>
        <w:t>In addition, most deaf children (over 90%) will be born to hearing parents who have no prior experience of deafness.</w:t>
      </w:r>
      <w:r w:rsidR="007625A5">
        <w:t xml:space="preserve"> Teachers of the Deaf play a key early intervention role in providing advice to families on language and communication in the key developmental years. </w:t>
      </w:r>
    </w:p>
    <w:p w14:paraId="7172C0C2" w14:textId="77777777" w:rsidR="00F508A2" w:rsidRDefault="00F508A2" w:rsidP="00F761C7">
      <w:pPr>
        <w:spacing w:after="0"/>
      </w:pPr>
    </w:p>
    <w:p w14:paraId="5A59D573" w14:textId="77777777" w:rsidR="00AC59E6" w:rsidRDefault="00F508A2" w:rsidP="00F761C7">
      <w:pPr>
        <w:spacing w:after="0"/>
      </w:pPr>
      <w:r>
        <w:t xml:space="preserve">It can be argued that peripatetic Teachers of the Deaf are a response to the ‘low-incidence’ problem. In other words, they are a flexible resource that can be deployed where the need is, recognising the unpredictability around where the need will arise. </w:t>
      </w:r>
    </w:p>
    <w:p w14:paraId="435E8A19" w14:textId="77777777" w:rsidR="00AC59E6" w:rsidRDefault="00AC59E6" w:rsidP="00F761C7">
      <w:pPr>
        <w:spacing w:after="0"/>
      </w:pPr>
    </w:p>
    <w:p w14:paraId="1CE4BB73" w14:textId="77777777" w:rsidR="00F508A2" w:rsidRPr="00B96030" w:rsidRDefault="00AC59E6" w:rsidP="00B96030">
      <w:pPr>
        <w:rPr>
          <w:rFonts w:ascii="Times New Roman" w:hAnsi="Times New Roman"/>
        </w:rPr>
      </w:pPr>
      <w:r>
        <w:t>Evidence commissioned by</w:t>
      </w:r>
      <w:r w:rsidR="00F761C7">
        <w:t xml:space="preserve"> the Department for Education</w:t>
      </w:r>
      <w:r w:rsidR="00B96030">
        <w:rPr>
          <w:rStyle w:val="FootnoteReference"/>
        </w:rPr>
        <w:footnoteReference w:id="1"/>
      </w:r>
      <w:r w:rsidR="00F761C7">
        <w:t>, r</w:t>
      </w:r>
      <w:r w:rsidR="00F508A2">
        <w:t>eports from Ofsted</w:t>
      </w:r>
      <w:r w:rsidR="00F508A2">
        <w:rPr>
          <w:rStyle w:val="FootnoteReference"/>
        </w:rPr>
        <w:footnoteReference w:id="2"/>
      </w:r>
      <w:r w:rsidR="00F508A2">
        <w:t xml:space="preserve"> and an international literature review</w:t>
      </w:r>
      <w:r w:rsidR="00F508A2">
        <w:rPr>
          <w:rStyle w:val="FootnoteReference"/>
        </w:rPr>
        <w:footnoteReference w:id="3"/>
      </w:r>
      <w:r w:rsidR="00F508A2">
        <w:t xml:space="preserve"> have talked of the importance of </w:t>
      </w:r>
      <w:r w:rsidR="00F761C7">
        <w:t>the Teacher of the Deaf</w:t>
      </w:r>
      <w:r w:rsidR="00F508A2">
        <w:t xml:space="preserve"> role. </w:t>
      </w:r>
    </w:p>
    <w:p w14:paraId="0DF7E081" w14:textId="77777777" w:rsidR="00F508A2" w:rsidRPr="00DC0961" w:rsidRDefault="00F508A2" w:rsidP="00F761C7">
      <w:pPr>
        <w:spacing w:after="0"/>
        <w:rPr>
          <w:i/>
        </w:rPr>
      </w:pPr>
      <w:r w:rsidRPr="00DC0961">
        <w:rPr>
          <w:i/>
        </w:rPr>
        <w:t xml:space="preserve">The mandatory qualification </w:t>
      </w:r>
    </w:p>
    <w:p w14:paraId="796C7167" w14:textId="77777777" w:rsidR="00F508A2" w:rsidRDefault="00F508A2" w:rsidP="00F761C7">
      <w:pPr>
        <w:spacing w:after="0"/>
      </w:pPr>
    </w:p>
    <w:p w14:paraId="504773A1" w14:textId="749EA2DC" w:rsidR="00F508A2" w:rsidRDefault="00AC59E6" w:rsidP="00F761C7">
      <w:pPr>
        <w:spacing w:after="0"/>
      </w:pPr>
      <w:r>
        <w:t>The mandatory qualification</w:t>
      </w:r>
      <w:r w:rsidR="00FD18E4">
        <w:t xml:space="preserve"> is</w:t>
      </w:r>
      <w:r>
        <w:t xml:space="preserve"> </w:t>
      </w:r>
      <w:r w:rsidR="00F508A2">
        <w:t>usually acquired after two-years of part-time study</w:t>
      </w:r>
      <w:r>
        <w:t xml:space="preserve">, leading to </w:t>
      </w:r>
      <w:r w:rsidR="00E4460B">
        <w:t>a post-graduate diploma</w:t>
      </w:r>
      <w:r w:rsidR="007625A5">
        <w:t>. There are four</w:t>
      </w:r>
      <w:r w:rsidR="00F508A2">
        <w:t xml:space="preserve"> providers of</w:t>
      </w:r>
      <w:r w:rsidR="00FD18E4">
        <w:t xml:space="preserve"> the qualification across England</w:t>
      </w:r>
      <w:r w:rsidR="00F508A2">
        <w:t xml:space="preserve"> – Mary Hare/University of Hertfordshire and the Unive</w:t>
      </w:r>
      <w:r w:rsidR="00FD18E4">
        <w:t xml:space="preserve">rsities of Birmingham, </w:t>
      </w:r>
      <w:r w:rsidR="00F508A2">
        <w:t>Leeds</w:t>
      </w:r>
      <w:r>
        <w:t xml:space="preserve"> and Manchester</w:t>
      </w:r>
      <w:r w:rsidR="00FD18E4">
        <w:rPr>
          <w:rStyle w:val="FootnoteReference"/>
        </w:rPr>
        <w:footnoteReference w:id="4"/>
      </w:r>
      <w:r w:rsidR="00F508A2">
        <w:t xml:space="preserve">. Most will be working as an unqualified Teacher of the Deaf whilst undergoing training. </w:t>
      </w:r>
    </w:p>
    <w:p w14:paraId="602BC107" w14:textId="77777777" w:rsidR="00F508A2" w:rsidRDefault="00F508A2" w:rsidP="00F761C7">
      <w:pPr>
        <w:spacing w:after="0"/>
      </w:pPr>
    </w:p>
    <w:p w14:paraId="099905B5" w14:textId="77777777" w:rsidR="00F508A2" w:rsidRDefault="00AC59E6" w:rsidP="00F761C7">
      <w:pPr>
        <w:spacing w:after="0"/>
      </w:pPr>
      <w:r>
        <w:t>The mandatory qualification</w:t>
      </w:r>
      <w:r w:rsidR="00F508A2">
        <w:t xml:space="preserve"> is one of the few mechanisms </w:t>
      </w:r>
      <w:r>
        <w:t>available</w:t>
      </w:r>
      <w:r w:rsidR="00F508A2">
        <w:t xml:space="preserve"> to maintain the status and q</w:t>
      </w:r>
      <w:r>
        <w:t xml:space="preserve">uality of Teachers of the Deaf, as well as the support available to deaf children. </w:t>
      </w:r>
      <w:r w:rsidR="00FD18E4">
        <w:t xml:space="preserve">It provides parents of deaf children with assurance that the support their child receives will be informed by expertise in deafness – this is an assurance that is not available to parents of, for example, children with autism. </w:t>
      </w:r>
    </w:p>
    <w:p w14:paraId="4E7CB444" w14:textId="77777777" w:rsidR="008F5E40" w:rsidRDefault="008F5E40" w:rsidP="00F761C7">
      <w:pPr>
        <w:spacing w:after="0"/>
      </w:pPr>
    </w:p>
    <w:p w14:paraId="211C616F" w14:textId="77777777" w:rsidR="008F5E40" w:rsidRPr="00714C1C" w:rsidRDefault="008F5E40" w:rsidP="00F761C7">
      <w:pPr>
        <w:spacing w:after="0"/>
        <w:rPr>
          <w:i/>
        </w:rPr>
      </w:pPr>
      <w:r>
        <w:rPr>
          <w:i/>
        </w:rPr>
        <w:t xml:space="preserve">How many Teachers of the Deaf are there? </w:t>
      </w:r>
      <w:r w:rsidRPr="00714C1C">
        <w:rPr>
          <w:i/>
        </w:rPr>
        <w:t xml:space="preserve"> </w:t>
      </w:r>
    </w:p>
    <w:p w14:paraId="58D292CC" w14:textId="77777777" w:rsidR="008F5E40" w:rsidRDefault="008F5E40" w:rsidP="00F761C7">
      <w:pPr>
        <w:spacing w:after="0"/>
      </w:pPr>
    </w:p>
    <w:p w14:paraId="117E28D6" w14:textId="55D0A5E0" w:rsidR="00FD18E4" w:rsidRDefault="008F5E40" w:rsidP="00F761C7">
      <w:pPr>
        <w:spacing w:after="0"/>
      </w:pPr>
      <w:r>
        <w:t xml:space="preserve">The Consortium for Research into Deaf Education (CRIDE) </w:t>
      </w:r>
      <w:r w:rsidR="003E4D1E">
        <w:t xml:space="preserve">carries </w:t>
      </w:r>
      <w:r>
        <w:t xml:space="preserve">out an annual survey of local authorities to ask about the number of Teachers of the Deaf. </w:t>
      </w:r>
    </w:p>
    <w:p w14:paraId="107268CB" w14:textId="774AEB60" w:rsidR="00716ACB" w:rsidRDefault="00716ACB" w:rsidP="00F761C7">
      <w:pPr>
        <w:spacing w:after="0"/>
      </w:pPr>
      <w:r>
        <w:lastRenderedPageBreak/>
        <w:t xml:space="preserve">As far as we are aware, </w:t>
      </w:r>
      <w:r w:rsidR="00BA6A7D">
        <w:t>these are the best available figures</w:t>
      </w:r>
      <w:r w:rsidR="0070589A">
        <w:t>; this data is not collected</w:t>
      </w:r>
      <w:r w:rsidR="00FD18E4">
        <w:t xml:space="preserve"> by any government body. </w:t>
      </w:r>
    </w:p>
    <w:p w14:paraId="102AEE45" w14:textId="77777777" w:rsidR="00B96030" w:rsidRDefault="00B96030" w:rsidP="00F761C7">
      <w:pPr>
        <w:spacing w:after="0"/>
      </w:pPr>
    </w:p>
    <w:p w14:paraId="5A037B39" w14:textId="2E434220" w:rsidR="00716ACB" w:rsidRDefault="00716ACB" w:rsidP="00F761C7">
      <w:pPr>
        <w:spacing w:after="0"/>
      </w:pPr>
      <w:r>
        <w:t xml:space="preserve">The </w:t>
      </w:r>
      <w:r w:rsidR="00EA6734">
        <w:t xml:space="preserve">chart and </w:t>
      </w:r>
      <w:r>
        <w:t xml:space="preserve">table </w:t>
      </w:r>
      <w:r w:rsidR="003E4D1E">
        <w:t xml:space="preserve">below </w:t>
      </w:r>
      <w:r>
        <w:t>look</w:t>
      </w:r>
      <w:r w:rsidR="003E4D1E">
        <w:t xml:space="preserve"> </w:t>
      </w:r>
      <w:r>
        <w:t>at changes in the number of Teachers of the Deaf</w:t>
      </w:r>
      <w:r w:rsidR="00B96030">
        <w:t xml:space="preserve"> in employment</w:t>
      </w:r>
      <w:r w:rsidR="00BA6A7D">
        <w:t xml:space="preserve"> </w:t>
      </w:r>
      <w:r w:rsidR="00EA6734">
        <w:t xml:space="preserve">who are a) qualified and b) in training </w:t>
      </w:r>
      <w:r w:rsidR="00BA6A7D">
        <w:t xml:space="preserve">since CRIDE began in 2011. </w:t>
      </w:r>
      <w:r w:rsidR="006F2385">
        <w:t xml:space="preserve">These figures focus on numbers of Teachers of the Deaf who work in a peripatetic role and/or in resource provisions. Figures for Teachers of the Deaf working in special schools are set out later. </w:t>
      </w:r>
    </w:p>
    <w:p w14:paraId="529B0F59" w14:textId="77777777" w:rsidR="00716ACB" w:rsidRPr="003E48D1" w:rsidRDefault="00716ACB" w:rsidP="00F761C7">
      <w:pPr>
        <w:spacing w:after="0"/>
        <w:rPr>
          <w:rFonts w:ascii="Calibri" w:hAnsi="Calibri"/>
        </w:rPr>
      </w:pPr>
    </w:p>
    <w:p w14:paraId="73AB3A43" w14:textId="2F58A030" w:rsidR="00EA6734" w:rsidRDefault="00EA6734" w:rsidP="00F761C7">
      <w:pPr>
        <w:spacing w:after="0"/>
      </w:pPr>
      <w:r>
        <w:rPr>
          <w:noProof/>
        </w:rPr>
        <w:drawing>
          <wp:inline distT="0" distB="0" distL="0" distR="0" wp14:anchorId="76061E03" wp14:editId="31FBE0FF">
            <wp:extent cx="6254115" cy="3105509"/>
            <wp:effectExtent l="0" t="0" r="1333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D1D03" w14:textId="77777777" w:rsidR="00EA6734" w:rsidRDefault="00EA6734" w:rsidP="00F761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134"/>
        <w:gridCol w:w="1134"/>
        <w:gridCol w:w="1134"/>
        <w:gridCol w:w="1134"/>
        <w:gridCol w:w="1134"/>
        <w:gridCol w:w="1134"/>
      </w:tblGrid>
      <w:tr w:rsidR="00EA6734" w:rsidRPr="003E48D1" w14:paraId="03288736" w14:textId="77777777" w:rsidTr="006F2385">
        <w:tc>
          <w:tcPr>
            <w:tcW w:w="1980" w:type="dxa"/>
          </w:tcPr>
          <w:p w14:paraId="74D04BF4" w14:textId="77777777" w:rsidR="00EA6734" w:rsidRPr="003E48D1" w:rsidRDefault="00EA6734" w:rsidP="00B677DE">
            <w:pPr>
              <w:spacing w:after="0"/>
              <w:rPr>
                <w:rFonts w:ascii="Calibri" w:hAnsi="Calibri"/>
                <w:b/>
                <w:sz w:val="22"/>
                <w:szCs w:val="22"/>
              </w:rPr>
            </w:pPr>
            <w:r>
              <w:rPr>
                <w:rFonts w:ascii="Calibri" w:hAnsi="Calibri"/>
                <w:b/>
                <w:sz w:val="22"/>
                <w:szCs w:val="22"/>
              </w:rPr>
              <w:t>Year</w:t>
            </w:r>
          </w:p>
        </w:tc>
        <w:tc>
          <w:tcPr>
            <w:tcW w:w="1134" w:type="dxa"/>
          </w:tcPr>
          <w:p w14:paraId="75FEC9D9" w14:textId="77777777" w:rsidR="00EA6734" w:rsidRPr="003E48D1" w:rsidRDefault="00EA6734" w:rsidP="00B677DE">
            <w:pPr>
              <w:spacing w:after="0"/>
              <w:rPr>
                <w:rFonts w:ascii="Calibri" w:hAnsi="Calibri"/>
                <w:b/>
                <w:sz w:val="22"/>
                <w:szCs w:val="22"/>
              </w:rPr>
            </w:pPr>
            <w:r w:rsidRPr="003E48D1">
              <w:rPr>
                <w:rFonts w:ascii="Calibri" w:hAnsi="Calibri"/>
                <w:b/>
                <w:sz w:val="22"/>
                <w:szCs w:val="22"/>
              </w:rPr>
              <w:t>2010/11</w:t>
            </w:r>
          </w:p>
        </w:tc>
        <w:tc>
          <w:tcPr>
            <w:tcW w:w="1134" w:type="dxa"/>
          </w:tcPr>
          <w:p w14:paraId="4A926D90" w14:textId="77777777" w:rsidR="00EA6734" w:rsidRPr="003E48D1" w:rsidRDefault="00EA6734" w:rsidP="00B677DE">
            <w:pPr>
              <w:spacing w:after="0"/>
              <w:rPr>
                <w:rFonts w:ascii="Calibri" w:hAnsi="Calibri"/>
                <w:b/>
                <w:sz w:val="22"/>
                <w:szCs w:val="22"/>
              </w:rPr>
            </w:pPr>
            <w:r w:rsidRPr="003E48D1">
              <w:rPr>
                <w:rFonts w:ascii="Calibri" w:hAnsi="Calibri"/>
                <w:b/>
                <w:sz w:val="22"/>
                <w:szCs w:val="22"/>
              </w:rPr>
              <w:t>2011/12</w:t>
            </w:r>
          </w:p>
        </w:tc>
        <w:tc>
          <w:tcPr>
            <w:tcW w:w="1134" w:type="dxa"/>
          </w:tcPr>
          <w:p w14:paraId="6E81FE28" w14:textId="77777777" w:rsidR="00EA6734" w:rsidRPr="003E48D1" w:rsidRDefault="00EA6734" w:rsidP="00B677DE">
            <w:pPr>
              <w:spacing w:after="0"/>
              <w:rPr>
                <w:rFonts w:ascii="Calibri" w:hAnsi="Calibri"/>
                <w:b/>
                <w:sz w:val="22"/>
                <w:szCs w:val="22"/>
              </w:rPr>
            </w:pPr>
            <w:r w:rsidRPr="003E48D1">
              <w:rPr>
                <w:rFonts w:ascii="Calibri" w:hAnsi="Calibri"/>
                <w:b/>
                <w:sz w:val="22"/>
                <w:szCs w:val="22"/>
              </w:rPr>
              <w:t>2012/13</w:t>
            </w:r>
          </w:p>
        </w:tc>
        <w:tc>
          <w:tcPr>
            <w:tcW w:w="1134" w:type="dxa"/>
            <w:shd w:val="clear" w:color="auto" w:fill="auto"/>
          </w:tcPr>
          <w:p w14:paraId="0C00445D" w14:textId="77777777" w:rsidR="00EA6734" w:rsidRPr="003E48D1" w:rsidRDefault="00EA6734" w:rsidP="00B677DE">
            <w:pPr>
              <w:spacing w:after="0"/>
              <w:rPr>
                <w:rFonts w:ascii="Calibri" w:hAnsi="Calibri"/>
                <w:b/>
                <w:sz w:val="22"/>
                <w:szCs w:val="22"/>
              </w:rPr>
            </w:pPr>
            <w:r w:rsidRPr="003E48D1">
              <w:rPr>
                <w:rFonts w:ascii="Calibri" w:hAnsi="Calibri"/>
                <w:b/>
                <w:sz w:val="22"/>
                <w:szCs w:val="22"/>
              </w:rPr>
              <w:t>2013/14</w:t>
            </w:r>
          </w:p>
        </w:tc>
        <w:tc>
          <w:tcPr>
            <w:tcW w:w="1134" w:type="dxa"/>
            <w:shd w:val="clear" w:color="auto" w:fill="auto"/>
          </w:tcPr>
          <w:p w14:paraId="014B52C5" w14:textId="77777777" w:rsidR="00EA6734" w:rsidRPr="003E48D1" w:rsidRDefault="00EA6734" w:rsidP="00B677DE">
            <w:pPr>
              <w:spacing w:after="0"/>
              <w:rPr>
                <w:rFonts w:ascii="Calibri" w:hAnsi="Calibri"/>
                <w:b/>
                <w:sz w:val="22"/>
                <w:szCs w:val="22"/>
              </w:rPr>
            </w:pPr>
            <w:r w:rsidRPr="003E48D1">
              <w:rPr>
                <w:rFonts w:ascii="Calibri" w:hAnsi="Calibri"/>
                <w:b/>
                <w:sz w:val="22"/>
                <w:szCs w:val="22"/>
              </w:rPr>
              <w:t>2014/15</w:t>
            </w:r>
          </w:p>
        </w:tc>
        <w:tc>
          <w:tcPr>
            <w:tcW w:w="1134" w:type="dxa"/>
          </w:tcPr>
          <w:p w14:paraId="41B2FEC5" w14:textId="77777777" w:rsidR="00EA6734" w:rsidRPr="003E48D1" w:rsidRDefault="00EA6734" w:rsidP="00B677DE">
            <w:pPr>
              <w:spacing w:after="0"/>
              <w:rPr>
                <w:rFonts w:ascii="Calibri" w:hAnsi="Calibri"/>
                <w:b/>
                <w:sz w:val="22"/>
                <w:szCs w:val="22"/>
              </w:rPr>
            </w:pPr>
            <w:r w:rsidRPr="003E48D1">
              <w:rPr>
                <w:rFonts w:ascii="Calibri" w:hAnsi="Calibri" w:cs="Arial"/>
                <w:b/>
                <w:color w:val="000000"/>
                <w:sz w:val="22"/>
                <w:szCs w:val="22"/>
              </w:rPr>
              <w:t>2015/16</w:t>
            </w:r>
          </w:p>
        </w:tc>
        <w:tc>
          <w:tcPr>
            <w:tcW w:w="1134" w:type="dxa"/>
          </w:tcPr>
          <w:p w14:paraId="0AE4B60B" w14:textId="77777777" w:rsidR="00EA6734" w:rsidRPr="003E48D1" w:rsidRDefault="00EA6734" w:rsidP="00B677DE">
            <w:pPr>
              <w:spacing w:after="0"/>
              <w:rPr>
                <w:rFonts w:ascii="Calibri" w:hAnsi="Calibri" w:cs="Arial"/>
                <w:b/>
                <w:color w:val="000000"/>
                <w:sz w:val="22"/>
                <w:szCs w:val="22"/>
              </w:rPr>
            </w:pPr>
            <w:r w:rsidRPr="003E48D1">
              <w:rPr>
                <w:rFonts w:ascii="Calibri" w:hAnsi="Calibri" w:cs="Arial"/>
                <w:b/>
                <w:color w:val="000000"/>
                <w:sz w:val="22"/>
                <w:szCs w:val="22"/>
              </w:rPr>
              <w:t>2016/17</w:t>
            </w:r>
          </w:p>
        </w:tc>
      </w:tr>
      <w:tr w:rsidR="00EA6734" w:rsidRPr="003E48D1" w14:paraId="753FFE36" w14:textId="77777777" w:rsidTr="006F2385">
        <w:tc>
          <w:tcPr>
            <w:tcW w:w="1980" w:type="dxa"/>
          </w:tcPr>
          <w:p w14:paraId="44D7D378" w14:textId="77777777" w:rsidR="00EA6734" w:rsidRPr="00D76587" w:rsidRDefault="00EA6734" w:rsidP="00B677DE">
            <w:pPr>
              <w:spacing w:after="0"/>
              <w:rPr>
                <w:rFonts w:ascii="Calibri" w:hAnsi="Calibri"/>
                <w:b/>
                <w:sz w:val="22"/>
                <w:szCs w:val="22"/>
              </w:rPr>
            </w:pPr>
            <w:r w:rsidRPr="00D76587">
              <w:rPr>
                <w:rFonts w:ascii="Calibri" w:hAnsi="Calibri"/>
                <w:b/>
                <w:sz w:val="22"/>
                <w:szCs w:val="22"/>
              </w:rPr>
              <w:t>Number of qualified Teachers of the Deaf</w:t>
            </w:r>
          </w:p>
        </w:tc>
        <w:tc>
          <w:tcPr>
            <w:tcW w:w="1134" w:type="dxa"/>
          </w:tcPr>
          <w:p w14:paraId="26D88CEC" w14:textId="77777777" w:rsidR="00EA6734" w:rsidRPr="003E48D1" w:rsidRDefault="00EA6734" w:rsidP="00B677DE">
            <w:pPr>
              <w:spacing w:after="0"/>
              <w:rPr>
                <w:rFonts w:ascii="Calibri" w:hAnsi="Calibri"/>
                <w:sz w:val="22"/>
                <w:szCs w:val="22"/>
              </w:rPr>
            </w:pPr>
            <w:r w:rsidRPr="003E48D1">
              <w:rPr>
                <w:rFonts w:ascii="Calibri" w:hAnsi="Calibri"/>
                <w:sz w:val="22"/>
                <w:szCs w:val="22"/>
              </w:rPr>
              <w:t>1,062.1</w:t>
            </w:r>
          </w:p>
        </w:tc>
        <w:tc>
          <w:tcPr>
            <w:tcW w:w="1134" w:type="dxa"/>
          </w:tcPr>
          <w:p w14:paraId="5CA2FA8C" w14:textId="77777777" w:rsidR="00EA6734" w:rsidRPr="003E48D1" w:rsidRDefault="00EA6734" w:rsidP="00B677DE">
            <w:pPr>
              <w:spacing w:after="0"/>
              <w:rPr>
                <w:rFonts w:ascii="Calibri" w:hAnsi="Calibri"/>
                <w:sz w:val="22"/>
                <w:szCs w:val="22"/>
              </w:rPr>
            </w:pPr>
            <w:r w:rsidRPr="003E48D1">
              <w:rPr>
                <w:rFonts w:ascii="Calibri" w:hAnsi="Calibri"/>
                <w:sz w:val="22"/>
                <w:szCs w:val="22"/>
              </w:rPr>
              <w:t>1,063.7</w:t>
            </w:r>
          </w:p>
        </w:tc>
        <w:tc>
          <w:tcPr>
            <w:tcW w:w="1134" w:type="dxa"/>
          </w:tcPr>
          <w:p w14:paraId="7372AB44" w14:textId="77777777" w:rsidR="00EA6734" w:rsidRPr="003E48D1" w:rsidRDefault="00EA6734" w:rsidP="00B677DE">
            <w:pPr>
              <w:spacing w:after="0"/>
              <w:rPr>
                <w:rFonts w:ascii="Calibri" w:hAnsi="Calibri"/>
                <w:sz w:val="22"/>
                <w:szCs w:val="22"/>
              </w:rPr>
            </w:pPr>
            <w:r w:rsidRPr="003E48D1">
              <w:rPr>
                <w:rFonts w:ascii="Calibri" w:hAnsi="Calibri"/>
                <w:sz w:val="22"/>
                <w:szCs w:val="22"/>
              </w:rPr>
              <w:t>1,031.9</w:t>
            </w:r>
          </w:p>
        </w:tc>
        <w:tc>
          <w:tcPr>
            <w:tcW w:w="1134" w:type="dxa"/>
            <w:shd w:val="clear" w:color="auto" w:fill="auto"/>
          </w:tcPr>
          <w:p w14:paraId="11214AD0" w14:textId="77777777" w:rsidR="00EA6734" w:rsidRPr="003E48D1" w:rsidRDefault="00EA6734" w:rsidP="00B677DE">
            <w:pPr>
              <w:spacing w:after="0"/>
              <w:rPr>
                <w:rFonts w:ascii="Calibri" w:hAnsi="Calibri"/>
                <w:sz w:val="22"/>
                <w:szCs w:val="22"/>
              </w:rPr>
            </w:pPr>
            <w:r w:rsidRPr="003E48D1">
              <w:rPr>
                <w:rFonts w:ascii="Calibri" w:hAnsi="Calibri" w:cs="Arial"/>
                <w:color w:val="000000"/>
                <w:sz w:val="22"/>
                <w:szCs w:val="22"/>
              </w:rPr>
              <w:t>999.2</w:t>
            </w:r>
          </w:p>
        </w:tc>
        <w:tc>
          <w:tcPr>
            <w:tcW w:w="1134" w:type="dxa"/>
            <w:shd w:val="clear" w:color="auto" w:fill="auto"/>
          </w:tcPr>
          <w:p w14:paraId="453FD1D2" w14:textId="77777777" w:rsidR="00EA6734" w:rsidRPr="003E48D1" w:rsidRDefault="00EA6734" w:rsidP="00B677DE">
            <w:pPr>
              <w:spacing w:after="0"/>
              <w:rPr>
                <w:rFonts w:ascii="Calibri" w:hAnsi="Calibri"/>
                <w:sz w:val="22"/>
                <w:szCs w:val="22"/>
              </w:rPr>
            </w:pPr>
            <w:r w:rsidRPr="003E48D1">
              <w:rPr>
                <w:rFonts w:ascii="Calibri" w:hAnsi="Calibri" w:cs="Arial"/>
                <w:color w:val="000000"/>
                <w:sz w:val="22"/>
                <w:szCs w:val="22"/>
              </w:rPr>
              <w:t>995.75</w:t>
            </w:r>
          </w:p>
        </w:tc>
        <w:tc>
          <w:tcPr>
            <w:tcW w:w="1134" w:type="dxa"/>
          </w:tcPr>
          <w:p w14:paraId="3C615156" w14:textId="77777777" w:rsidR="00EA6734" w:rsidRPr="003E48D1" w:rsidRDefault="00EA6734" w:rsidP="00B677DE">
            <w:pPr>
              <w:spacing w:after="0"/>
              <w:rPr>
                <w:rFonts w:ascii="Calibri" w:hAnsi="Calibri"/>
                <w:sz w:val="22"/>
                <w:szCs w:val="22"/>
              </w:rPr>
            </w:pPr>
            <w:r w:rsidRPr="003E48D1">
              <w:rPr>
                <w:rFonts w:ascii="Calibri" w:hAnsi="Calibri"/>
                <w:sz w:val="22"/>
                <w:szCs w:val="22"/>
              </w:rPr>
              <w:t>932.38</w:t>
            </w:r>
          </w:p>
        </w:tc>
        <w:tc>
          <w:tcPr>
            <w:tcW w:w="1134" w:type="dxa"/>
          </w:tcPr>
          <w:p w14:paraId="7C7A273B" w14:textId="77777777" w:rsidR="00EA6734" w:rsidRPr="003E48D1" w:rsidRDefault="00EA6734" w:rsidP="00B677DE">
            <w:pPr>
              <w:spacing w:after="0"/>
              <w:rPr>
                <w:rFonts w:ascii="Calibri" w:hAnsi="Calibri"/>
                <w:sz w:val="22"/>
                <w:szCs w:val="22"/>
              </w:rPr>
            </w:pPr>
            <w:r w:rsidRPr="003E48D1">
              <w:rPr>
                <w:rFonts w:ascii="Calibri" w:hAnsi="Calibri" w:cstheme="minorHAnsi"/>
                <w:color w:val="000000"/>
                <w:sz w:val="22"/>
                <w:szCs w:val="20"/>
              </w:rPr>
              <w:t>913.75</w:t>
            </w:r>
          </w:p>
        </w:tc>
      </w:tr>
      <w:tr w:rsidR="00EA6734" w:rsidRPr="003E48D1" w14:paraId="47DF5D08" w14:textId="77777777" w:rsidTr="006F2385">
        <w:tc>
          <w:tcPr>
            <w:tcW w:w="1980" w:type="dxa"/>
          </w:tcPr>
          <w:p w14:paraId="33086085" w14:textId="77777777" w:rsidR="00EA6734" w:rsidRPr="00D76587" w:rsidRDefault="00EA6734" w:rsidP="00B677DE">
            <w:pPr>
              <w:spacing w:after="0"/>
              <w:rPr>
                <w:rFonts w:ascii="Calibri" w:hAnsi="Calibri"/>
                <w:b/>
                <w:sz w:val="22"/>
                <w:szCs w:val="22"/>
              </w:rPr>
            </w:pPr>
            <w:r>
              <w:rPr>
                <w:rFonts w:ascii="Calibri" w:hAnsi="Calibri"/>
                <w:b/>
                <w:sz w:val="22"/>
                <w:szCs w:val="22"/>
              </w:rPr>
              <w:t xml:space="preserve">Number of Teachers of the Deaf in training </w:t>
            </w:r>
          </w:p>
        </w:tc>
        <w:tc>
          <w:tcPr>
            <w:tcW w:w="1134" w:type="dxa"/>
          </w:tcPr>
          <w:p w14:paraId="636B8E61" w14:textId="77777777" w:rsidR="00EA6734" w:rsidRPr="003E48D1" w:rsidRDefault="00EA6734" w:rsidP="00B677DE">
            <w:pPr>
              <w:spacing w:after="0"/>
              <w:rPr>
                <w:rFonts w:ascii="Calibri" w:hAnsi="Calibri"/>
                <w:sz w:val="22"/>
                <w:szCs w:val="22"/>
              </w:rPr>
            </w:pPr>
            <w:r>
              <w:rPr>
                <w:rFonts w:ascii="Calibri" w:hAnsi="Calibri"/>
                <w:sz w:val="22"/>
                <w:szCs w:val="22"/>
              </w:rPr>
              <w:t>91.6</w:t>
            </w:r>
          </w:p>
        </w:tc>
        <w:tc>
          <w:tcPr>
            <w:tcW w:w="1134" w:type="dxa"/>
          </w:tcPr>
          <w:p w14:paraId="304204B1" w14:textId="77777777" w:rsidR="00EA6734" w:rsidRPr="003E48D1" w:rsidRDefault="00EA6734" w:rsidP="00B677DE">
            <w:pPr>
              <w:spacing w:after="0"/>
              <w:rPr>
                <w:rFonts w:ascii="Calibri" w:hAnsi="Calibri"/>
                <w:sz w:val="22"/>
                <w:szCs w:val="22"/>
              </w:rPr>
            </w:pPr>
            <w:r>
              <w:rPr>
                <w:rFonts w:ascii="Calibri" w:hAnsi="Calibri"/>
                <w:sz w:val="22"/>
                <w:szCs w:val="22"/>
              </w:rPr>
              <w:t>74.3</w:t>
            </w:r>
          </w:p>
        </w:tc>
        <w:tc>
          <w:tcPr>
            <w:tcW w:w="1134" w:type="dxa"/>
          </w:tcPr>
          <w:p w14:paraId="6FBAD1E4" w14:textId="77777777" w:rsidR="00EA6734" w:rsidRPr="003E48D1" w:rsidRDefault="00EA6734" w:rsidP="00B677DE">
            <w:pPr>
              <w:spacing w:after="0"/>
              <w:rPr>
                <w:rFonts w:ascii="Calibri" w:hAnsi="Calibri"/>
                <w:sz w:val="22"/>
                <w:szCs w:val="22"/>
              </w:rPr>
            </w:pPr>
            <w:r>
              <w:rPr>
                <w:rFonts w:ascii="Calibri" w:hAnsi="Calibri"/>
                <w:sz w:val="22"/>
                <w:szCs w:val="22"/>
              </w:rPr>
              <w:t>78.4</w:t>
            </w:r>
          </w:p>
        </w:tc>
        <w:tc>
          <w:tcPr>
            <w:tcW w:w="1134" w:type="dxa"/>
            <w:shd w:val="clear" w:color="auto" w:fill="auto"/>
          </w:tcPr>
          <w:p w14:paraId="6D12FEA1" w14:textId="77777777" w:rsidR="00EA6734" w:rsidRPr="003E48D1" w:rsidRDefault="00EA6734" w:rsidP="00B677DE">
            <w:pPr>
              <w:spacing w:after="0"/>
              <w:rPr>
                <w:rFonts w:ascii="Calibri" w:hAnsi="Calibri" w:cs="Arial"/>
                <w:color w:val="000000"/>
                <w:sz w:val="22"/>
                <w:szCs w:val="22"/>
              </w:rPr>
            </w:pPr>
            <w:r>
              <w:rPr>
                <w:rFonts w:ascii="Calibri" w:hAnsi="Calibri" w:cs="Arial"/>
                <w:color w:val="000000"/>
                <w:sz w:val="22"/>
                <w:szCs w:val="22"/>
              </w:rPr>
              <w:t>72.1</w:t>
            </w:r>
          </w:p>
        </w:tc>
        <w:tc>
          <w:tcPr>
            <w:tcW w:w="1134" w:type="dxa"/>
            <w:shd w:val="clear" w:color="auto" w:fill="auto"/>
          </w:tcPr>
          <w:p w14:paraId="0CBF486C" w14:textId="77777777" w:rsidR="00EA6734" w:rsidRPr="003E48D1" w:rsidRDefault="00EA6734" w:rsidP="00B677DE">
            <w:pPr>
              <w:spacing w:after="0"/>
              <w:rPr>
                <w:rFonts w:ascii="Calibri" w:hAnsi="Calibri" w:cs="Arial"/>
                <w:color w:val="000000"/>
                <w:sz w:val="22"/>
                <w:szCs w:val="22"/>
              </w:rPr>
            </w:pPr>
            <w:r>
              <w:rPr>
                <w:rFonts w:ascii="Calibri" w:hAnsi="Calibri" w:cs="Arial"/>
                <w:color w:val="000000"/>
                <w:sz w:val="22"/>
                <w:szCs w:val="22"/>
              </w:rPr>
              <w:t>123.2</w:t>
            </w:r>
          </w:p>
        </w:tc>
        <w:tc>
          <w:tcPr>
            <w:tcW w:w="1134" w:type="dxa"/>
          </w:tcPr>
          <w:p w14:paraId="214A1A4C" w14:textId="77777777" w:rsidR="00EA6734" w:rsidRPr="003E48D1" w:rsidRDefault="00EA6734" w:rsidP="00B677DE">
            <w:pPr>
              <w:spacing w:after="0"/>
              <w:rPr>
                <w:rFonts w:ascii="Calibri" w:hAnsi="Calibri"/>
                <w:sz w:val="22"/>
                <w:szCs w:val="22"/>
              </w:rPr>
            </w:pPr>
            <w:r>
              <w:rPr>
                <w:rFonts w:ascii="Calibri" w:hAnsi="Calibri"/>
                <w:sz w:val="22"/>
                <w:szCs w:val="22"/>
              </w:rPr>
              <w:t>114.8</w:t>
            </w:r>
          </w:p>
        </w:tc>
        <w:tc>
          <w:tcPr>
            <w:tcW w:w="1134" w:type="dxa"/>
          </w:tcPr>
          <w:p w14:paraId="32DF9EE4" w14:textId="77777777" w:rsidR="00EA6734" w:rsidRPr="003E48D1" w:rsidRDefault="00EA6734" w:rsidP="00B677DE">
            <w:pPr>
              <w:spacing w:after="0"/>
              <w:rPr>
                <w:rFonts w:ascii="Calibri" w:hAnsi="Calibri" w:cstheme="minorHAnsi"/>
                <w:color w:val="000000"/>
                <w:sz w:val="22"/>
                <w:szCs w:val="20"/>
              </w:rPr>
            </w:pPr>
            <w:r>
              <w:rPr>
                <w:rFonts w:ascii="Calibri" w:hAnsi="Calibri" w:cstheme="minorHAnsi"/>
                <w:color w:val="000000"/>
                <w:sz w:val="22"/>
                <w:szCs w:val="20"/>
              </w:rPr>
              <w:t>123.6</w:t>
            </w:r>
          </w:p>
        </w:tc>
      </w:tr>
      <w:tr w:rsidR="00EA6734" w:rsidRPr="003E48D1" w14:paraId="0626FD8B" w14:textId="77777777" w:rsidTr="006F2385">
        <w:tc>
          <w:tcPr>
            <w:tcW w:w="1980" w:type="dxa"/>
          </w:tcPr>
          <w:p w14:paraId="5F00CB54" w14:textId="77777777" w:rsidR="00EA6734" w:rsidRPr="00D76587" w:rsidRDefault="00EA6734" w:rsidP="00B677DE">
            <w:pPr>
              <w:spacing w:after="0"/>
              <w:rPr>
                <w:rFonts w:ascii="Calibri" w:hAnsi="Calibri"/>
                <w:b/>
                <w:sz w:val="22"/>
                <w:szCs w:val="22"/>
              </w:rPr>
            </w:pPr>
            <w:r>
              <w:rPr>
                <w:rFonts w:ascii="Calibri" w:hAnsi="Calibri"/>
                <w:b/>
                <w:sz w:val="22"/>
                <w:szCs w:val="22"/>
              </w:rPr>
              <w:t xml:space="preserve">Total </w:t>
            </w:r>
          </w:p>
        </w:tc>
        <w:tc>
          <w:tcPr>
            <w:tcW w:w="1134" w:type="dxa"/>
            <w:vAlign w:val="bottom"/>
          </w:tcPr>
          <w:p w14:paraId="3C854409" w14:textId="77777777" w:rsidR="00EA6734" w:rsidRPr="0070589A" w:rsidRDefault="00EA6734" w:rsidP="00B677DE">
            <w:pPr>
              <w:spacing w:after="0"/>
              <w:rPr>
                <w:rFonts w:ascii="Calibri" w:hAnsi="Calibri"/>
                <w:sz w:val="22"/>
                <w:szCs w:val="22"/>
              </w:rPr>
            </w:pPr>
            <w:r w:rsidRPr="0070589A">
              <w:rPr>
                <w:rFonts w:ascii="Calibri" w:hAnsi="Calibri"/>
                <w:color w:val="000000"/>
                <w:sz w:val="22"/>
              </w:rPr>
              <w:t>1,153.70</w:t>
            </w:r>
          </w:p>
        </w:tc>
        <w:tc>
          <w:tcPr>
            <w:tcW w:w="1134" w:type="dxa"/>
            <w:vAlign w:val="bottom"/>
          </w:tcPr>
          <w:p w14:paraId="5F8FE409" w14:textId="77777777" w:rsidR="00EA6734" w:rsidRPr="0070589A" w:rsidRDefault="00EA6734" w:rsidP="00B677DE">
            <w:pPr>
              <w:spacing w:after="0"/>
              <w:rPr>
                <w:rFonts w:ascii="Calibri" w:hAnsi="Calibri"/>
                <w:sz w:val="22"/>
                <w:szCs w:val="22"/>
              </w:rPr>
            </w:pPr>
            <w:r w:rsidRPr="0070589A">
              <w:rPr>
                <w:rFonts w:ascii="Calibri" w:hAnsi="Calibri"/>
                <w:color w:val="000000"/>
                <w:sz w:val="22"/>
              </w:rPr>
              <w:t>1,138.00</w:t>
            </w:r>
          </w:p>
        </w:tc>
        <w:tc>
          <w:tcPr>
            <w:tcW w:w="1134" w:type="dxa"/>
            <w:vAlign w:val="bottom"/>
          </w:tcPr>
          <w:p w14:paraId="2E2C1426" w14:textId="77777777" w:rsidR="00EA6734" w:rsidRPr="0070589A" w:rsidRDefault="00EA6734" w:rsidP="00B677DE">
            <w:pPr>
              <w:spacing w:after="0"/>
              <w:rPr>
                <w:rFonts w:ascii="Calibri" w:hAnsi="Calibri"/>
                <w:sz w:val="22"/>
                <w:szCs w:val="22"/>
              </w:rPr>
            </w:pPr>
            <w:r w:rsidRPr="0070589A">
              <w:rPr>
                <w:rFonts w:ascii="Calibri" w:hAnsi="Calibri"/>
                <w:color w:val="000000"/>
                <w:sz w:val="22"/>
              </w:rPr>
              <w:t>1,110.30</w:t>
            </w:r>
          </w:p>
        </w:tc>
        <w:tc>
          <w:tcPr>
            <w:tcW w:w="1134" w:type="dxa"/>
            <w:shd w:val="clear" w:color="auto" w:fill="auto"/>
            <w:vAlign w:val="bottom"/>
          </w:tcPr>
          <w:p w14:paraId="6C0DB857" w14:textId="77777777" w:rsidR="00EA6734" w:rsidRPr="0070589A" w:rsidRDefault="00EA6734" w:rsidP="00B677DE">
            <w:pPr>
              <w:spacing w:after="0"/>
              <w:rPr>
                <w:rFonts w:ascii="Calibri" w:hAnsi="Calibri" w:cs="Arial"/>
                <w:color w:val="000000"/>
                <w:sz w:val="22"/>
                <w:szCs w:val="22"/>
              </w:rPr>
            </w:pPr>
            <w:r w:rsidRPr="0070589A">
              <w:rPr>
                <w:rFonts w:ascii="Calibri" w:hAnsi="Calibri"/>
                <w:color w:val="000000"/>
                <w:sz w:val="22"/>
              </w:rPr>
              <w:t>1,071.30</w:t>
            </w:r>
          </w:p>
        </w:tc>
        <w:tc>
          <w:tcPr>
            <w:tcW w:w="1134" w:type="dxa"/>
            <w:shd w:val="clear" w:color="auto" w:fill="auto"/>
            <w:vAlign w:val="bottom"/>
          </w:tcPr>
          <w:p w14:paraId="6565C6D5" w14:textId="77777777" w:rsidR="00EA6734" w:rsidRPr="0070589A" w:rsidRDefault="00EA6734" w:rsidP="00B677DE">
            <w:pPr>
              <w:spacing w:after="0"/>
              <w:rPr>
                <w:rFonts w:ascii="Calibri" w:hAnsi="Calibri" w:cs="Arial"/>
                <w:color w:val="000000"/>
                <w:sz w:val="22"/>
                <w:szCs w:val="22"/>
              </w:rPr>
            </w:pPr>
            <w:r w:rsidRPr="0070589A">
              <w:rPr>
                <w:rFonts w:ascii="Calibri" w:hAnsi="Calibri"/>
                <w:color w:val="000000"/>
                <w:sz w:val="22"/>
              </w:rPr>
              <w:t>1,118.95</w:t>
            </w:r>
          </w:p>
        </w:tc>
        <w:tc>
          <w:tcPr>
            <w:tcW w:w="1134" w:type="dxa"/>
            <w:vAlign w:val="bottom"/>
          </w:tcPr>
          <w:p w14:paraId="0C89C282" w14:textId="77777777" w:rsidR="00EA6734" w:rsidRPr="0070589A" w:rsidRDefault="00EA6734" w:rsidP="00B677DE">
            <w:pPr>
              <w:spacing w:after="0"/>
              <w:rPr>
                <w:rFonts w:ascii="Calibri" w:hAnsi="Calibri"/>
                <w:sz w:val="22"/>
                <w:szCs w:val="22"/>
              </w:rPr>
            </w:pPr>
            <w:r w:rsidRPr="0070589A">
              <w:rPr>
                <w:rFonts w:ascii="Calibri" w:hAnsi="Calibri"/>
                <w:color w:val="000000"/>
                <w:sz w:val="22"/>
              </w:rPr>
              <w:t>1,047.18</w:t>
            </w:r>
          </w:p>
        </w:tc>
        <w:tc>
          <w:tcPr>
            <w:tcW w:w="1134" w:type="dxa"/>
            <w:vAlign w:val="bottom"/>
          </w:tcPr>
          <w:p w14:paraId="1BF7A2A3" w14:textId="77777777" w:rsidR="00EA6734" w:rsidRPr="0070589A" w:rsidRDefault="00EA6734" w:rsidP="00B677DE">
            <w:pPr>
              <w:spacing w:after="0"/>
              <w:rPr>
                <w:rFonts w:ascii="Calibri" w:hAnsi="Calibri" w:cstheme="minorHAnsi"/>
                <w:color w:val="000000"/>
                <w:sz w:val="22"/>
                <w:szCs w:val="20"/>
              </w:rPr>
            </w:pPr>
            <w:r w:rsidRPr="0070589A">
              <w:rPr>
                <w:rFonts w:ascii="Calibri" w:hAnsi="Calibri"/>
                <w:color w:val="000000"/>
                <w:sz w:val="22"/>
              </w:rPr>
              <w:t>1,037.35</w:t>
            </w:r>
          </w:p>
        </w:tc>
      </w:tr>
    </w:tbl>
    <w:p w14:paraId="23AE67C9" w14:textId="77777777" w:rsidR="00EA6734" w:rsidRDefault="00EA6734" w:rsidP="00F761C7">
      <w:pPr>
        <w:spacing w:after="0"/>
      </w:pPr>
    </w:p>
    <w:p w14:paraId="20D9650F" w14:textId="77777777" w:rsidR="00EA6734" w:rsidRDefault="00EA6734" w:rsidP="00F761C7">
      <w:pPr>
        <w:spacing w:after="0"/>
      </w:pPr>
      <w:r>
        <w:t xml:space="preserve">In summary, this shows: </w:t>
      </w:r>
    </w:p>
    <w:p w14:paraId="520150C3" w14:textId="77777777" w:rsidR="00EA6734" w:rsidRDefault="00EA6734" w:rsidP="00F761C7">
      <w:pPr>
        <w:spacing w:after="0"/>
      </w:pPr>
    </w:p>
    <w:p w14:paraId="39848D94" w14:textId="654CA30F" w:rsidR="00716ACB" w:rsidRPr="00E56E7C" w:rsidRDefault="00716ACB" w:rsidP="00E56E7C">
      <w:pPr>
        <w:pStyle w:val="ListParagraph"/>
        <w:numPr>
          <w:ilvl w:val="0"/>
          <w:numId w:val="34"/>
        </w:numPr>
        <w:spacing w:after="0"/>
      </w:pPr>
      <w:r w:rsidRPr="00E56E7C">
        <w:t>a 14%</w:t>
      </w:r>
      <w:r w:rsidR="006F2385">
        <w:t xml:space="preserve"> drop over 7 years and 2% in 1</w:t>
      </w:r>
      <w:r w:rsidRPr="00E56E7C">
        <w:t xml:space="preserve"> year </w:t>
      </w:r>
      <w:r w:rsidR="003E4D1E">
        <w:t>of</w:t>
      </w:r>
      <w:r w:rsidR="003E4D1E" w:rsidRPr="00E56E7C">
        <w:t xml:space="preserve"> </w:t>
      </w:r>
      <w:r w:rsidRPr="00E56E7C">
        <w:t xml:space="preserve">the number of </w:t>
      </w:r>
      <w:r w:rsidR="006F2385">
        <w:t>qualified Teachers of the Deaf</w:t>
      </w:r>
    </w:p>
    <w:p w14:paraId="6D571C8F" w14:textId="401F7F75" w:rsidR="00E56E7C" w:rsidRPr="00E56E7C" w:rsidRDefault="00EA6734" w:rsidP="00E56E7C">
      <w:pPr>
        <w:pStyle w:val="ListParagraph"/>
        <w:numPr>
          <w:ilvl w:val="0"/>
          <w:numId w:val="34"/>
        </w:numPr>
        <w:spacing w:after="0"/>
      </w:pPr>
      <w:r w:rsidRPr="00E56E7C">
        <w:t>whilst there has been a rise in the number of Teachers of the Deaf in training, this hasn’t been enough. There has</w:t>
      </w:r>
      <w:r w:rsidR="006F2385">
        <w:t xml:space="preserve"> still</w:t>
      </w:r>
      <w:r w:rsidRPr="00E56E7C">
        <w:t xml:space="preserve"> been a total 10% drop over 7 years </w:t>
      </w:r>
      <w:r w:rsidR="00716ACB" w:rsidRPr="00E56E7C">
        <w:t>and 1% in one year in the number of Teachers of the Deaf wh</w:t>
      </w:r>
      <w:r w:rsidR="006F2385">
        <w:t>o are qualified or in training</w:t>
      </w:r>
    </w:p>
    <w:p w14:paraId="2AD8F925" w14:textId="408374CA" w:rsidR="00716ACB" w:rsidRPr="00E56E7C" w:rsidRDefault="006F2385" w:rsidP="00E56E7C">
      <w:pPr>
        <w:pStyle w:val="ListParagraph"/>
        <w:numPr>
          <w:ilvl w:val="0"/>
          <w:numId w:val="34"/>
        </w:numPr>
        <w:spacing w:after="0"/>
      </w:pPr>
      <w:r>
        <w:t>t</w:t>
      </w:r>
      <w:r w:rsidR="00BA6A7D" w:rsidRPr="00E56E7C">
        <w:t>he</w:t>
      </w:r>
      <w:r>
        <w:t xml:space="preserve"> decline in numbers of Teachers of the Deaf over the past 7 years has averaged at 2% per year. </w:t>
      </w:r>
    </w:p>
    <w:p w14:paraId="60DACD9E" w14:textId="77777777" w:rsidR="00B96030" w:rsidRDefault="00B96030" w:rsidP="00F761C7">
      <w:pPr>
        <w:spacing w:after="0"/>
      </w:pPr>
    </w:p>
    <w:p w14:paraId="450F03AF" w14:textId="77777777" w:rsidR="00EA7E4A" w:rsidRDefault="00EA7E4A" w:rsidP="00F761C7">
      <w:pPr>
        <w:spacing w:after="0"/>
      </w:pPr>
      <w:r>
        <w:t xml:space="preserve">The number of vacant posts at any one time has been relatively stable, averaging 45 over the past 7 years. </w:t>
      </w:r>
    </w:p>
    <w:p w14:paraId="6C0D2FE1" w14:textId="77777777" w:rsidR="00EA7E4A" w:rsidRDefault="00EA7E4A" w:rsidP="00F761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134"/>
        <w:gridCol w:w="1134"/>
        <w:gridCol w:w="1134"/>
        <w:gridCol w:w="1134"/>
        <w:gridCol w:w="1134"/>
        <w:gridCol w:w="1276"/>
      </w:tblGrid>
      <w:tr w:rsidR="00D76587" w:rsidRPr="003E48D1" w14:paraId="70CC5FF3" w14:textId="77777777" w:rsidTr="00A332A9">
        <w:tc>
          <w:tcPr>
            <w:tcW w:w="1838" w:type="dxa"/>
          </w:tcPr>
          <w:p w14:paraId="50F2CCBD" w14:textId="77777777" w:rsidR="00D76587" w:rsidRPr="003E48D1" w:rsidRDefault="00D76587" w:rsidP="00F852FF">
            <w:pPr>
              <w:spacing w:after="0"/>
              <w:rPr>
                <w:rFonts w:ascii="Calibri" w:hAnsi="Calibri"/>
                <w:b/>
                <w:sz w:val="22"/>
                <w:szCs w:val="22"/>
              </w:rPr>
            </w:pPr>
            <w:r>
              <w:rPr>
                <w:rFonts w:ascii="Calibri" w:hAnsi="Calibri"/>
                <w:b/>
                <w:sz w:val="22"/>
                <w:szCs w:val="22"/>
              </w:rPr>
              <w:t>Year</w:t>
            </w:r>
          </w:p>
        </w:tc>
        <w:tc>
          <w:tcPr>
            <w:tcW w:w="1134" w:type="dxa"/>
          </w:tcPr>
          <w:p w14:paraId="0DA54E32" w14:textId="77777777" w:rsidR="00D76587" w:rsidRPr="003E48D1" w:rsidRDefault="00D76587" w:rsidP="00F852FF">
            <w:pPr>
              <w:spacing w:after="0"/>
              <w:rPr>
                <w:rFonts w:ascii="Calibri" w:hAnsi="Calibri"/>
                <w:b/>
                <w:sz w:val="22"/>
                <w:szCs w:val="22"/>
              </w:rPr>
            </w:pPr>
            <w:r w:rsidRPr="003E48D1">
              <w:rPr>
                <w:rFonts w:ascii="Calibri" w:hAnsi="Calibri"/>
                <w:b/>
                <w:sz w:val="22"/>
                <w:szCs w:val="22"/>
              </w:rPr>
              <w:t>2010/11</w:t>
            </w:r>
          </w:p>
        </w:tc>
        <w:tc>
          <w:tcPr>
            <w:tcW w:w="1134" w:type="dxa"/>
          </w:tcPr>
          <w:p w14:paraId="19B59E59" w14:textId="77777777" w:rsidR="00D76587" w:rsidRPr="003E48D1" w:rsidRDefault="00D76587" w:rsidP="00F852FF">
            <w:pPr>
              <w:spacing w:after="0"/>
              <w:rPr>
                <w:rFonts w:ascii="Calibri" w:hAnsi="Calibri"/>
                <w:b/>
                <w:sz w:val="22"/>
                <w:szCs w:val="22"/>
              </w:rPr>
            </w:pPr>
            <w:r w:rsidRPr="003E48D1">
              <w:rPr>
                <w:rFonts w:ascii="Calibri" w:hAnsi="Calibri"/>
                <w:b/>
                <w:sz w:val="22"/>
                <w:szCs w:val="22"/>
              </w:rPr>
              <w:t>2011/12</w:t>
            </w:r>
          </w:p>
        </w:tc>
        <w:tc>
          <w:tcPr>
            <w:tcW w:w="1134" w:type="dxa"/>
          </w:tcPr>
          <w:p w14:paraId="67886910" w14:textId="77777777" w:rsidR="00D76587" w:rsidRPr="003E48D1" w:rsidRDefault="00D76587" w:rsidP="00F852FF">
            <w:pPr>
              <w:spacing w:after="0"/>
              <w:rPr>
                <w:rFonts w:ascii="Calibri" w:hAnsi="Calibri"/>
                <w:b/>
                <w:sz w:val="22"/>
                <w:szCs w:val="22"/>
              </w:rPr>
            </w:pPr>
            <w:r w:rsidRPr="003E48D1">
              <w:rPr>
                <w:rFonts w:ascii="Calibri" w:hAnsi="Calibri"/>
                <w:b/>
                <w:sz w:val="22"/>
                <w:szCs w:val="22"/>
              </w:rPr>
              <w:t>2012/13</w:t>
            </w:r>
          </w:p>
        </w:tc>
        <w:tc>
          <w:tcPr>
            <w:tcW w:w="1134" w:type="dxa"/>
            <w:shd w:val="clear" w:color="auto" w:fill="auto"/>
          </w:tcPr>
          <w:p w14:paraId="77337582" w14:textId="77777777" w:rsidR="00D76587" w:rsidRPr="003E48D1" w:rsidRDefault="00D76587" w:rsidP="00F852FF">
            <w:pPr>
              <w:spacing w:after="0"/>
              <w:rPr>
                <w:rFonts w:ascii="Calibri" w:hAnsi="Calibri"/>
                <w:b/>
                <w:sz w:val="22"/>
                <w:szCs w:val="22"/>
              </w:rPr>
            </w:pPr>
            <w:r w:rsidRPr="003E48D1">
              <w:rPr>
                <w:rFonts w:ascii="Calibri" w:hAnsi="Calibri"/>
                <w:b/>
                <w:sz w:val="22"/>
                <w:szCs w:val="22"/>
              </w:rPr>
              <w:t>2013/14</w:t>
            </w:r>
          </w:p>
        </w:tc>
        <w:tc>
          <w:tcPr>
            <w:tcW w:w="1134" w:type="dxa"/>
            <w:shd w:val="clear" w:color="auto" w:fill="auto"/>
          </w:tcPr>
          <w:p w14:paraId="0C2FEF3F" w14:textId="77777777" w:rsidR="00D76587" w:rsidRPr="003E48D1" w:rsidRDefault="00D76587" w:rsidP="00F852FF">
            <w:pPr>
              <w:spacing w:after="0"/>
              <w:rPr>
                <w:rFonts w:ascii="Calibri" w:hAnsi="Calibri"/>
                <w:b/>
                <w:sz w:val="22"/>
                <w:szCs w:val="22"/>
              </w:rPr>
            </w:pPr>
            <w:r w:rsidRPr="003E48D1">
              <w:rPr>
                <w:rFonts w:ascii="Calibri" w:hAnsi="Calibri"/>
                <w:b/>
                <w:sz w:val="22"/>
                <w:szCs w:val="22"/>
              </w:rPr>
              <w:t>2014/15</w:t>
            </w:r>
          </w:p>
        </w:tc>
        <w:tc>
          <w:tcPr>
            <w:tcW w:w="1134" w:type="dxa"/>
          </w:tcPr>
          <w:p w14:paraId="25F9F079" w14:textId="77777777" w:rsidR="00D76587" w:rsidRPr="003E48D1" w:rsidRDefault="00D76587" w:rsidP="00F852FF">
            <w:pPr>
              <w:spacing w:after="0"/>
              <w:rPr>
                <w:rFonts w:ascii="Calibri" w:hAnsi="Calibri"/>
                <w:b/>
                <w:sz w:val="22"/>
                <w:szCs w:val="22"/>
              </w:rPr>
            </w:pPr>
            <w:r w:rsidRPr="003E48D1">
              <w:rPr>
                <w:rFonts w:ascii="Calibri" w:hAnsi="Calibri" w:cs="Arial"/>
                <w:b/>
                <w:color w:val="000000"/>
                <w:sz w:val="22"/>
                <w:szCs w:val="22"/>
              </w:rPr>
              <w:t>2015/16</w:t>
            </w:r>
          </w:p>
        </w:tc>
        <w:tc>
          <w:tcPr>
            <w:tcW w:w="1276" w:type="dxa"/>
          </w:tcPr>
          <w:p w14:paraId="008B085C" w14:textId="77777777" w:rsidR="00D76587" w:rsidRPr="003E48D1" w:rsidRDefault="00D76587" w:rsidP="00F852FF">
            <w:pPr>
              <w:spacing w:after="0"/>
              <w:rPr>
                <w:rFonts w:ascii="Calibri" w:hAnsi="Calibri" w:cs="Arial"/>
                <w:b/>
                <w:color w:val="000000"/>
                <w:sz w:val="22"/>
                <w:szCs w:val="22"/>
              </w:rPr>
            </w:pPr>
            <w:r w:rsidRPr="003E48D1">
              <w:rPr>
                <w:rFonts w:ascii="Calibri" w:hAnsi="Calibri" w:cs="Arial"/>
                <w:b/>
                <w:color w:val="000000"/>
                <w:sz w:val="22"/>
                <w:szCs w:val="22"/>
              </w:rPr>
              <w:t>2016/17</w:t>
            </w:r>
          </w:p>
        </w:tc>
      </w:tr>
      <w:tr w:rsidR="00D76587" w:rsidRPr="003E48D1" w14:paraId="3A0E37EB" w14:textId="77777777" w:rsidTr="00A332A9">
        <w:tc>
          <w:tcPr>
            <w:tcW w:w="1838" w:type="dxa"/>
          </w:tcPr>
          <w:p w14:paraId="6B89E5C3" w14:textId="77777777" w:rsidR="00D76587" w:rsidRPr="00D76587" w:rsidRDefault="00D76587" w:rsidP="00F852FF">
            <w:pPr>
              <w:spacing w:after="0"/>
              <w:rPr>
                <w:rFonts w:ascii="Calibri" w:hAnsi="Calibri"/>
                <w:b/>
                <w:sz w:val="22"/>
                <w:szCs w:val="22"/>
              </w:rPr>
            </w:pPr>
            <w:r w:rsidRPr="00D76587">
              <w:rPr>
                <w:rFonts w:ascii="Calibri" w:hAnsi="Calibri"/>
                <w:b/>
                <w:sz w:val="22"/>
                <w:szCs w:val="22"/>
              </w:rPr>
              <w:t>Number of vacant posts</w:t>
            </w:r>
          </w:p>
        </w:tc>
        <w:tc>
          <w:tcPr>
            <w:tcW w:w="1134" w:type="dxa"/>
          </w:tcPr>
          <w:p w14:paraId="24405238" w14:textId="77777777" w:rsidR="00D76587" w:rsidRPr="003E48D1" w:rsidRDefault="00D76587" w:rsidP="00F852FF">
            <w:pPr>
              <w:spacing w:after="0"/>
              <w:rPr>
                <w:rFonts w:ascii="Calibri" w:hAnsi="Calibri"/>
                <w:sz w:val="22"/>
                <w:szCs w:val="22"/>
              </w:rPr>
            </w:pPr>
            <w:r>
              <w:rPr>
                <w:rFonts w:ascii="Calibri" w:hAnsi="Calibri"/>
                <w:sz w:val="22"/>
                <w:szCs w:val="22"/>
              </w:rPr>
              <w:t>34</w:t>
            </w:r>
          </w:p>
        </w:tc>
        <w:tc>
          <w:tcPr>
            <w:tcW w:w="1134" w:type="dxa"/>
          </w:tcPr>
          <w:p w14:paraId="529EE2DE" w14:textId="77777777" w:rsidR="00D76587" w:rsidRPr="003E48D1" w:rsidRDefault="00D76587" w:rsidP="00F852FF">
            <w:pPr>
              <w:spacing w:after="0"/>
              <w:rPr>
                <w:rFonts w:ascii="Calibri" w:hAnsi="Calibri"/>
                <w:sz w:val="22"/>
                <w:szCs w:val="22"/>
              </w:rPr>
            </w:pPr>
            <w:r>
              <w:rPr>
                <w:rFonts w:ascii="Calibri" w:hAnsi="Calibri"/>
                <w:sz w:val="22"/>
                <w:szCs w:val="22"/>
              </w:rPr>
              <w:t>44.5</w:t>
            </w:r>
          </w:p>
        </w:tc>
        <w:tc>
          <w:tcPr>
            <w:tcW w:w="1134" w:type="dxa"/>
          </w:tcPr>
          <w:p w14:paraId="34724527" w14:textId="77777777" w:rsidR="00D76587" w:rsidRPr="003E48D1" w:rsidRDefault="00D76587" w:rsidP="00F852FF">
            <w:pPr>
              <w:spacing w:after="0"/>
              <w:rPr>
                <w:rFonts w:ascii="Calibri" w:hAnsi="Calibri"/>
                <w:sz w:val="22"/>
                <w:szCs w:val="22"/>
              </w:rPr>
            </w:pPr>
            <w:r>
              <w:rPr>
                <w:rFonts w:ascii="Calibri" w:hAnsi="Calibri"/>
                <w:sz w:val="22"/>
                <w:szCs w:val="22"/>
              </w:rPr>
              <w:t>40.8</w:t>
            </w:r>
          </w:p>
        </w:tc>
        <w:tc>
          <w:tcPr>
            <w:tcW w:w="1134" w:type="dxa"/>
            <w:shd w:val="clear" w:color="auto" w:fill="auto"/>
          </w:tcPr>
          <w:p w14:paraId="1ED3AF3A" w14:textId="77777777" w:rsidR="00D76587" w:rsidRPr="003E48D1" w:rsidRDefault="00D76587" w:rsidP="00F852FF">
            <w:pPr>
              <w:spacing w:after="0"/>
              <w:rPr>
                <w:rFonts w:ascii="Calibri" w:hAnsi="Calibri"/>
                <w:sz w:val="22"/>
                <w:szCs w:val="22"/>
              </w:rPr>
            </w:pPr>
            <w:r>
              <w:rPr>
                <w:rFonts w:ascii="Calibri" w:hAnsi="Calibri"/>
                <w:sz w:val="22"/>
                <w:szCs w:val="22"/>
              </w:rPr>
              <w:t>45.8</w:t>
            </w:r>
          </w:p>
        </w:tc>
        <w:tc>
          <w:tcPr>
            <w:tcW w:w="1134" w:type="dxa"/>
            <w:shd w:val="clear" w:color="auto" w:fill="auto"/>
          </w:tcPr>
          <w:p w14:paraId="39F6178B" w14:textId="77777777" w:rsidR="00D76587" w:rsidRPr="003E48D1" w:rsidRDefault="00D76587" w:rsidP="00F852FF">
            <w:pPr>
              <w:spacing w:after="0"/>
              <w:rPr>
                <w:rFonts w:ascii="Calibri" w:hAnsi="Calibri"/>
                <w:sz w:val="22"/>
                <w:szCs w:val="22"/>
              </w:rPr>
            </w:pPr>
            <w:r>
              <w:rPr>
                <w:rFonts w:ascii="Calibri" w:hAnsi="Calibri"/>
                <w:sz w:val="22"/>
                <w:szCs w:val="22"/>
              </w:rPr>
              <w:t>45.6</w:t>
            </w:r>
          </w:p>
        </w:tc>
        <w:tc>
          <w:tcPr>
            <w:tcW w:w="1134" w:type="dxa"/>
          </w:tcPr>
          <w:p w14:paraId="30F1F04F" w14:textId="77777777" w:rsidR="00D76587" w:rsidRPr="003E48D1" w:rsidRDefault="00D76587" w:rsidP="00F852FF">
            <w:pPr>
              <w:spacing w:after="0"/>
              <w:rPr>
                <w:rFonts w:ascii="Calibri" w:hAnsi="Calibri"/>
                <w:sz w:val="22"/>
                <w:szCs w:val="22"/>
              </w:rPr>
            </w:pPr>
            <w:r>
              <w:rPr>
                <w:rFonts w:ascii="Calibri" w:hAnsi="Calibri"/>
                <w:sz w:val="22"/>
                <w:szCs w:val="22"/>
              </w:rPr>
              <w:t>60.9</w:t>
            </w:r>
          </w:p>
        </w:tc>
        <w:tc>
          <w:tcPr>
            <w:tcW w:w="1276" w:type="dxa"/>
          </w:tcPr>
          <w:p w14:paraId="4C9CE51C" w14:textId="77777777" w:rsidR="00D76587" w:rsidRPr="003E48D1" w:rsidRDefault="00D76587" w:rsidP="00F852FF">
            <w:pPr>
              <w:spacing w:after="0"/>
              <w:rPr>
                <w:rFonts w:ascii="Calibri" w:hAnsi="Calibri"/>
                <w:sz w:val="22"/>
                <w:szCs w:val="22"/>
              </w:rPr>
            </w:pPr>
            <w:r>
              <w:rPr>
                <w:rFonts w:ascii="Calibri" w:hAnsi="Calibri"/>
                <w:sz w:val="22"/>
                <w:szCs w:val="22"/>
              </w:rPr>
              <w:t>44.65</w:t>
            </w:r>
          </w:p>
        </w:tc>
      </w:tr>
    </w:tbl>
    <w:p w14:paraId="4E83F68E" w14:textId="77777777" w:rsidR="00EA7E4A" w:rsidRDefault="00EA7E4A" w:rsidP="00F761C7">
      <w:pPr>
        <w:spacing w:after="0"/>
      </w:pPr>
    </w:p>
    <w:p w14:paraId="37968AAA" w14:textId="4D34714B" w:rsidR="00EA7E4A" w:rsidRDefault="00EA7E4A" w:rsidP="00F761C7">
      <w:pPr>
        <w:spacing w:after="0"/>
      </w:pPr>
      <w:r>
        <w:t xml:space="preserve">Given what we know about the reductions in numbers of Teachers of the Deaf, it could be considered surprising that the vacancy rate is not higher. However, we </w:t>
      </w:r>
      <w:r w:rsidR="00DB4B63">
        <w:t xml:space="preserve">are aware of a number of instances where </w:t>
      </w:r>
      <w:r>
        <w:t>local authorities have simply</w:t>
      </w:r>
      <w:r w:rsidR="00D76587">
        <w:t xml:space="preserve"> over time ‘deleted’ posts</w:t>
      </w:r>
      <w:r>
        <w:t xml:space="preserve"> when they have been unable to fill them. </w:t>
      </w:r>
      <w:r w:rsidR="00DB4B63">
        <w:t xml:space="preserve">In other cases, posts have been ‘frozen’, pending a review of the service. </w:t>
      </w:r>
    </w:p>
    <w:p w14:paraId="255276DF" w14:textId="77777777" w:rsidR="00EA7E4A" w:rsidRDefault="00EA7E4A" w:rsidP="00F761C7">
      <w:pPr>
        <w:spacing w:after="0"/>
      </w:pPr>
    </w:p>
    <w:p w14:paraId="67A71E0E" w14:textId="481863B2" w:rsidR="00EA7E4A" w:rsidRDefault="00B96030" w:rsidP="00F761C7">
      <w:pPr>
        <w:spacing w:after="0"/>
        <w:rPr>
          <w:rFonts w:ascii="Calibri" w:hAnsi="Calibri"/>
        </w:rPr>
      </w:pPr>
      <w:r>
        <w:rPr>
          <w:rFonts w:ascii="Calibri" w:hAnsi="Calibri"/>
        </w:rPr>
        <w:t xml:space="preserve">Figures around the </w:t>
      </w:r>
      <w:r w:rsidR="006F2385">
        <w:rPr>
          <w:rFonts w:ascii="Calibri" w:hAnsi="Calibri"/>
        </w:rPr>
        <w:t>‘</w:t>
      </w:r>
      <w:r>
        <w:rPr>
          <w:rFonts w:ascii="Calibri" w:hAnsi="Calibri"/>
        </w:rPr>
        <w:t>theoretical caseload</w:t>
      </w:r>
      <w:r w:rsidR="006F2385">
        <w:rPr>
          <w:rFonts w:ascii="Calibri" w:hAnsi="Calibri"/>
        </w:rPr>
        <w:t>’</w:t>
      </w:r>
      <w:r w:rsidR="006F2385">
        <w:rPr>
          <w:rStyle w:val="FootnoteReference"/>
          <w:rFonts w:ascii="Calibri" w:hAnsi="Calibri"/>
        </w:rPr>
        <w:footnoteReference w:id="5"/>
      </w:r>
      <w:r>
        <w:rPr>
          <w:rFonts w:ascii="Calibri" w:hAnsi="Calibri"/>
        </w:rPr>
        <w:t xml:space="preserve"> also provide cause for concern. This is a crude measure but </w:t>
      </w:r>
      <w:r w:rsidR="003E4D1E">
        <w:rPr>
          <w:rFonts w:ascii="Calibri" w:hAnsi="Calibri"/>
        </w:rPr>
        <w:t xml:space="preserve">it </w:t>
      </w:r>
      <w:r>
        <w:rPr>
          <w:rFonts w:ascii="Calibri" w:hAnsi="Calibri"/>
        </w:rPr>
        <w:t xml:space="preserve">allows for comparisons over time. </w:t>
      </w:r>
      <w:r w:rsidR="00EA7E4A">
        <w:rPr>
          <w:rFonts w:ascii="Calibri" w:hAnsi="Calibri"/>
        </w:rPr>
        <w:t xml:space="preserve">In 2017, the theoretical caseload for each Teacher of the Deaf was 60. This was an increase from 2015 when it stood at 49 and from 2013 when it stood at 44. </w:t>
      </w:r>
    </w:p>
    <w:p w14:paraId="1138DF26" w14:textId="1D4EE72A" w:rsidR="00716ACB" w:rsidRDefault="00FE3129" w:rsidP="00F761C7">
      <w:pPr>
        <w:spacing w:after="0"/>
      </w:pPr>
      <w:r>
        <w:br/>
      </w:r>
      <w:r w:rsidR="00BA6A7D">
        <w:t xml:space="preserve">Finally, there is </w:t>
      </w:r>
      <w:r w:rsidR="006F2385">
        <w:t xml:space="preserve">also </w:t>
      </w:r>
      <w:r w:rsidR="00BA6A7D">
        <w:t xml:space="preserve">compelling evidence around the age profile of peripatetic Teachers of the Deaf. </w:t>
      </w:r>
    </w:p>
    <w:p w14:paraId="4DD56309" w14:textId="77777777" w:rsidR="00B96030" w:rsidRDefault="00B96030" w:rsidP="00F761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2"/>
      </w:tblGrid>
      <w:tr w:rsidR="00D76587" w:rsidRPr="003E48D1" w14:paraId="014A96D1" w14:textId="77777777" w:rsidTr="0070589A">
        <w:tc>
          <w:tcPr>
            <w:tcW w:w="2830" w:type="dxa"/>
          </w:tcPr>
          <w:p w14:paraId="0E452CE2" w14:textId="77777777" w:rsidR="00D76587" w:rsidRPr="003E48D1" w:rsidRDefault="00D76587" w:rsidP="00F761C7">
            <w:pPr>
              <w:spacing w:after="0"/>
              <w:rPr>
                <w:rFonts w:ascii="Calibri" w:hAnsi="Calibri"/>
                <w:sz w:val="22"/>
              </w:rPr>
            </w:pPr>
          </w:p>
        </w:tc>
        <w:tc>
          <w:tcPr>
            <w:tcW w:w="4962" w:type="dxa"/>
          </w:tcPr>
          <w:p w14:paraId="0ED7A110" w14:textId="77777777" w:rsidR="00D76587" w:rsidRPr="0016451E" w:rsidRDefault="00D76587" w:rsidP="00F761C7">
            <w:pPr>
              <w:spacing w:after="0"/>
              <w:rPr>
                <w:rFonts w:ascii="Calibri" w:hAnsi="Calibri"/>
                <w:b/>
                <w:sz w:val="22"/>
              </w:rPr>
            </w:pPr>
            <w:r w:rsidRPr="0016451E">
              <w:rPr>
                <w:rFonts w:ascii="Calibri" w:hAnsi="Calibri"/>
                <w:b/>
                <w:sz w:val="22"/>
              </w:rPr>
              <w:t>Number of peripatetic Teachers of the Deaf</w:t>
            </w:r>
          </w:p>
        </w:tc>
      </w:tr>
      <w:tr w:rsidR="00716ACB" w:rsidRPr="003E48D1" w14:paraId="3F0FE6D8" w14:textId="77777777" w:rsidTr="0070589A">
        <w:tc>
          <w:tcPr>
            <w:tcW w:w="2830" w:type="dxa"/>
          </w:tcPr>
          <w:p w14:paraId="258885A7" w14:textId="77777777" w:rsidR="00716ACB" w:rsidRPr="006F2385" w:rsidRDefault="00716ACB" w:rsidP="00F761C7">
            <w:pPr>
              <w:spacing w:after="0"/>
              <w:rPr>
                <w:rFonts w:ascii="Calibri" w:hAnsi="Calibri"/>
                <w:b/>
                <w:sz w:val="22"/>
              </w:rPr>
            </w:pPr>
            <w:r w:rsidRPr="006F2385">
              <w:rPr>
                <w:rFonts w:ascii="Calibri" w:hAnsi="Calibri"/>
                <w:b/>
                <w:sz w:val="22"/>
              </w:rPr>
              <w:t>Aged 49 or under</w:t>
            </w:r>
          </w:p>
        </w:tc>
        <w:tc>
          <w:tcPr>
            <w:tcW w:w="4962" w:type="dxa"/>
          </w:tcPr>
          <w:p w14:paraId="102037F8" w14:textId="745D69F2" w:rsidR="00716ACB" w:rsidRPr="003E48D1" w:rsidRDefault="00716ACB" w:rsidP="0070589A">
            <w:pPr>
              <w:spacing w:after="0"/>
              <w:rPr>
                <w:rFonts w:ascii="Calibri" w:hAnsi="Calibri"/>
                <w:sz w:val="22"/>
              </w:rPr>
            </w:pPr>
            <w:r w:rsidRPr="003E48D1">
              <w:rPr>
                <w:rFonts w:ascii="Calibri" w:hAnsi="Calibri"/>
                <w:sz w:val="22"/>
              </w:rPr>
              <w:t>276.8 (43%)</w:t>
            </w:r>
          </w:p>
        </w:tc>
      </w:tr>
      <w:tr w:rsidR="00716ACB" w:rsidRPr="003E48D1" w14:paraId="309936D0" w14:textId="77777777" w:rsidTr="0070589A">
        <w:tc>
          <w:tcPr>
            <w:tcW w:w="2830" w:type="dxa"/>
          </w:tcPr>
          <w:p w14:paraId="6017CD93" w14:textId="77777777" w:rsidR="00716ACB" w:rsidRPr="006F2385" w:rsidRDefault="00716ACB" w:rsidP="00F761C7">
            <w:pPr>
              <w:spacing w:after="0"/>
              <w:rPr>
                <w:rFonts w:ascii="Calibri" w:hAnsi="Calibri"/>
                <w:b/>
                <w:sz w:val="22"/>
              </w:rPr>
            </w:pPr>
            <w:r w:rsidRPr="006F2385">
              <w:rPr>
                <w:rFonts w:ascii="Calibri" w:hAnsi="Calibri"/>
                <w:b/>
                <w:sz w:val="22"/>
              </w:rPr>
              <w:t>Aged between 50 and 59</w:t>
            </w:r>
          </w:p>
        </w:tc>
        <w:tc>
          <w:tcPr>
            <w:tcW w:w="4962" w:type="dxa"/>
          </w:tcPr>
          <w:p w14:paraId="1E86B34C" w14:textId="6F9B6D80" w:rsidR="00716ACB" w:rsidRPr="003E48D1" w:rsidRDefault="00716ACB" w:rsidP="0070589A">
            <w:pPr>
              <w:spacing w:after="0"/>
              <w:rPr>
                <w:rFonts w:ascii="Calibri" w:hAnsi="Calibri"/>
                <w:sz w:val="22"/>
              </w:rPr>
            </w:pPr>
            <w:r w:rsidRPr="003E48D1">
              <w:rPr>
                <w:rFonts w:ascii="Calibri" w:hAnsi="Calibri"/>
                <w:sz w:val="22"/>
              </w:rPr>
              <w:t>307.55</w:t>
            </w:r>
            <w:r w:rsidR="0070589A">
              <w:rPr>
                <w:rFonts w:ascii="Calibri" w:hAnsi="Calibri"/>
                <w:sz w:val="22"/>
              </w:rPr>
              <w:t xml:space="preserve"> </w:t>
            </w:r>
            <w:r w:rsidRPr="003E48D1">
              <w:rPr>
                <w:rFonts w:ascii="Calibri" w:hAnsi="Calibri"/>
                <w:sz w:val="22"/>
              </w:rPr>
              <w:t>(48%)</w:t>
            </w:r>
          </w:p>
        </w:tc>
      </w:tr>
      <w:tr w:rsidR="00716ACB" w:rsidRPr="003E48D1" w14:paraId="518663EE" w14:textId="77777777" w:rsidTr="0070589A">
        <w:tc>
          <w:tcPr>
            <w:tcW w:w="2830" w:type="dxa"/>
          </w:tcPr>
          <w:p w14:paraId="00D898FE" w14:textId="77777777" w:rsidR="00716ACB" w:rsidRPr="006F2385" w:rsidRDefault="00716ACB" w:rsidP="00F761C7">
            <w:pPr>
              <w:spacing w:after="0"/>
              <w:rPr>
                <w:rFonts w:ascii="Calibri" w:hAnsi="Calibri"/>
                <w:b/>
                <w:sz w:val="22"/>
              </w:rPr>
            </w:pPr>
            <w:r w:rsidRPr="006F2385">
              <w:rPr>
                <w:rFonts w:ascii="Calibri" w:hAnsi="Calibri"/>
                <w:b/>
                <w:sz w:val="22"/>
              </w:rPr>
              <w:t>Aged between 60 and 64</w:t>
            </w:r>
          </w:p>
        </w:tc>
        <w:tc>
          <w:tcPr>
            <w:tcW w:w="4962" w:type="dxa"/>
          </w:tcPr>
          <w:p w14:paraId="7D2D64F1" w14:textId="38C4AB88" w:rsidR="00716ACB" w:rsidRPr="003E48D1" w:rsidRDefault="00716ACB" w:rsidP="0070589A">
            <w:pPr>
              <w:spacing w:after="0"/>
              <w:rPr>
                <w:rFonts w:ascii="Calibri" w:hAnsi="Calibri"/>
                <w:sz w:val="22"/>
              </w:rPr>
            </w:pPr>
            <w:r w:rsidRPr="003E48D1">
              <w:rPr>
                <w:rFonts w:ascii="Calibri" w:hAnsi="Calibri"/>
                <w:sz w:val="22"/>
              </w:rPr>
              <w:t>54.5 (8%)</w:t>
            </w:r>
          </w:p>
        </w:tc>
      </w:tr>
      <w:tr w:rsidR="00716ACB" w:rsidRPr="003E48D1" w14:paraId="758314FC" w14:textId="77777777" w:rsidTr="0070589A">
        <w:trPr>
          <w:trHeight w:val="64"/>
        </w:trPr>
        <w:tc>
          <w:tcPr>
            <w:tcW w:w="2830" w:type="dxa"/>
          </w:tcPr>
          <w:p w14:paraId="2BB472C2" w14:textId="77777777" w:rsidR="00716ACB" w:rsidRPr="006F2385" w:rsidRDefault="00716ACB" w:rsidP="00F761C7">
            <w:pPr>
              <w:spacing w:after="0"/>
              <w:rPr>
                <w:rFonts w:ascii="Calibri" w:hAnsi="Calibri"/>
                <w:b/>
                <w:sz w:val="22"/>
              </w:rPr>
            </w:pPr>
            <w:r w:rsidRPr="006F2385">
              <w:rPr>
                <w:rFonts w:ascii="Calibri" w:hAnsi="Calibri"/>
                <w:b/>
                <w:sz w:val="22"/>
              </w:rPr>
              <w:t>Aged 65 or over</w:t>
            </w:r>
          </w:p>
        </w:tc>
        <w:tc>
          <w:tcPr>
            <w:tcW w:w="4962" w:type="dxa"/>
          </w:tcPr>
          <w:p w14:paraId="49A90DCC" w14:textId="6BF546C3" w:rsidR="00716ACB" w:rsidRPr="003E48D1" w:rsidRDefault="00716ACB" w:rsidP="0070589A">
            <w:pPr>
              <w:spacing w:after="0"/>
              <w:rPr>
                <w:rFonts w:ascii="Calibri" w:hAnsi="Calibri"/>
                <w:sz w:val="22"/>
              </w:rPr>
            </w:pPr>
            <w:r w:rsidRPr="003E48D1">
              <w:rPr>
                <w:rFonts w:ascii="Calibri" w:hAnsi="Calibri"/>
                <w:sz w:val="22"/>
              </w:rPr>
              <w:t>3.8 (1%)</w:t>
            </w:r>
          </w:p>
        </w:tc>
      </w:tr>
      <w:tr w:rsidR="00716ACB" w:rsidRPr="003E48D1" w14:paraId="1E967662" w14:textId="77777777" w:rsidTr="0070589A">
        <w:tc>
          <w:tcPr>
            <w:tcW w:w="2830" w:type="dxa"/>
          </w:tcPr>
          <w:p w14:paraId="40C90B7F" w14:textId="77777777" w:rsidR="00716ACB" w:rsidRPr="006F2385" w:rsidRDefault="00716ACB" w:rsidP="00F761C7">
            <w:pPr>
              <w:spacing w:after="0"/>
              <w:rPr>
                <w:rFonts w:ascii="Calibri" w:hAnsi="Calibri"/>
                <w:b/>
                <w:sz w:val="22"/>
              </w:rPr>
            </w:pPr>
            <w:r w:rsidRPr="006F2385">
              <w:rPr>
                <w:rFonts w:ascii="Calibri" w:hAnsi="Calibri"/>
                <w:b/>
                <w:sz w:val="22"/>
              </w:rPr>
              <w:t>Total</w:t>
            </w:r>
          </w:p>
        </w:tc>
        <w:tc>
          <w:tcPr>
            <w:tcW w:w="4962" w:type="dxa"/>
          </w:tcPr>
          <w:p w14:paraId="3067F107" w14:textId="1CEA81DB" w:rsidR="00716ACB" w:rsidRPr="003E48D1" w:rsidRDefault="00716ACB" w:rsidP="0070589A">
            <w:pPr>
              <w:spacing w:after="0"/>
              <w:rPr>
                <w:rFonts w:ascii="Calibri" w:hAnsi="Calibri"/>
                <w:sz w:val="22"/>
              </w:rPr>
            </w:pPr>
            <w:r w:rsidRPr="003E48D1">
              <w:rPr>
                <w:rFonts w:ascii="Calibri" w:hAnsi="Calibri"/>
                <w:sz w:val="22"/>
              </w:rPr>
              <w:t>642.65</w:t>
            </w:r>
            <w:r w:rsidR="0070589A">
              <w:rPr>
                <w:rFonts w:ascii="Calibri" w:hAnsi="Calibri"/>
                <w:sz w:val="22"/>
              </w:rPr>
              <w:t xml:space="preserve"> </w:t>
            </w:r>
            <w:r w:rsidRPr="003E48D1">
              <w:rPr>
                <w:rFonts w:ascii="Calibri" w:hAnsi="Calibri"/>
                <w:sz w:val="22"/>
              </w:rPr>
              <w:t>(100%)</w:t>
            </w:r>
          </w:p>
        </w:tc>
      </w:tr>
    </w:tbl>
    <w:p w14:paraId="0D48431B" w14:textId="77777777" w:rsidR="00716ACB" w:rsidRDefault="00716ACB" w:rsidP="00F761C7">
      <w:pPr>
        <w:spacing w:after="0"/>
      </w:pPr>
    </w:p>
    <w:p w14:paraId="28430A73" w14:textId="77777777" w:rsidR="00D76587" w:rsidRDefault="00D76587" w:rsidP="00F761C7">
      <w:pPr>
        <w:spacing w:after="0"/>
      </w:pPr>
      <w:r>
        <w:t xml:space="preserve">We have no reason to believe the age profile is dissimilar for other types of Teachers of the Deaf. </w:t>
      </w:r>
    </w:p>
    <w:p w14:paraId="2EF494A0" w14:textId="77777777" w:rsidR="00D76587" w:rsidRDefault="00D76587" w:rsidP="00F761C7">
      <w:pPr>
        <w:spacing w:after="0"/>
      </w:pPr>
    </w:p>
    <w:p w14:paraId="62B5869B" w14:textId="074F7557" w:rsidR="0070589A" w:rsidRDefault="0070589A" w:rsidP="0070589A">
      <w:pPr>
        <w:spacing w:after="0"/>
      </w:pPr>
      <w:r>
        <w:t>Figures in the above section do not include numbers of Teachers of the Deaf working in special schools for deaf children. This data is collected on an ad-hoc basis by CRIDE. Figures from 2016 suggested there are around 251.7 Teachers of the Deaf across the UK working in special sc</w:t>
      </w:r>
      <w:r w:rsidR="00A234FC">
        <w:t>hools for deaf children. Provisional</w:t>
      </w:r>
      <w:r>
        <w:t xml:space="preserve"> figures from 2018 suggest this has fallen to 213.6. This indicates that the trend to</w:t>
      </w:r>
      <w:r w:rsidR="003E4D1E">
        <w:t>wards</w:t>
      </w:r>
      <w:r>
        <w:t xml:space="preserve"> fewer Teachers of the Deaf exists across the sector. </w:t>
      </w:r>
      <w:r w:rsidR="00AF5ED4">
        <w:t>This is also supported by Department for Education figures which show that the number of deaf children in special schools is falling, as well as recent closures in sp</w:t>
      </w:r>
      <w:r w:rsidR="00681653">
        <w:t>ecial schools for deaf children.</w:t>
      </w:r>
    </w:p>
    <w:p w14:paraId="2E193F63" w14:textId="77777777" w:rsidR="0070589A" w:rsidRDefault="0070589A" w:rsidP="00F761C7">
      <w:pPr>
        <w:spacing w:after="0"/>
      </w:pPr>
    </w:p>
    <w:p w14:paraId="77F69676" w14:textId="77777777" w:rsidR="00EA7E4A" w:rsidRDefault="00EA7E4A" w:rsidP="00FE3129">
      <w:pPr>
        <w:spacing w:after="0"/>
        <w:rPr>
          <w:i/>
        </w:rPr>
      </w:pPr>
      <w:r>
        <w:rPr>
          <w:i/>
        </w:rPr>
        <w:t xml:space="preserve">Numbers </w:t>
      </w:r>
      <w:r w:rsidR="009711A4">
        <w:rPr>
          <w:i/>
        </w:rPr>
        <w:t xml:space="preserve">currently in training </w:t>
      </w:r>
    </w:p>
    <w:p w14:paraId="49F732FD" w14:textId="77777777" w:rsidR="009711A4" w:rsidRPr="009711A4" w:rsidRDefault="009711A4" w:rsidP="00FE3129">
      <w:pPr>
        <w:spacing w:after="0"/>
        <w:rPr>
          <w:i/>
        </w:rPr>
      </w:pPr>
    </w:p>
    <w:p w14:paraId="2B6BF325" w14:textId="588A1D56" w:rsidR="00EA7E4A" w:rsidRPr="00EA7E4A" w:rsidRDefault="009711A4" w:rsidP="00FE3129">
      <w:pPr>
        <w:spacing w:after="0"/>
      </w:pPr>
      <w:r>
        <w:t>From contacting the four training providers, we understand that</w:t>
      </w:r>
      <w:r w:rsidR="00E56E7C">
        <w:t xml:space="preserve"> </w:t>
      </w:r>
      <w:r>
        <w:t>113 teachers</w:t>
      </w:r>
      <w:r w:rsidR="00C0012D">
        <w:t xml:space="preserve"> </w:t>
      </w:r>
      <w:r>
        <w:t>graduate</w:t>
      </w:r>
      <w:r w:rsidR="00C0012D">
        <w:t>d</w:t>
      </w:r>
      <w:r>
        <w:t xml:space="preserve"> </w:t>
      </w:r>
      <w:r w:rsidR="00DB4B63">
        <w:t xml:space="preserve">as Teachers of the Deaf </w:t>
      </w:r>
      <w:r>
        <w:t xml:space="preserve">in summer 2018 and </w:t>
      </w:r>
      <w:r w:rsidR="00C0012D">
        <w:t xml:space="preserve">that </w:t>
      </w:r>
      <w:r>
        <w:t>9</w:t>
      </w:r>
      <w:r w:rsidR="00C0012D">
        <w:t>6 are expected to graduate in summer 2019, and 94 in 2020. Anecdotal evidence from t</w:t>
      </w:r>
      <w:r w:rsidR="00E56E7C">
        <w:t xml:space="preserve">raining providers </w:t>
      </w:r>
      <w:r w:rsidR="00C0012D">
        <w:t xml:space="preserve">suggest there are concerns about numbers for future courses. Some </w:t>
      </w:r>
      <w:r w:rsidR="00E56E7C">
        <w:t xml:space="preserve">report that they are receiving fewer enquiries, with many prospective teachers citing </w:t>
      </w:r>
      <w:r w:rsidR="00DB4B63">
        <w:t>the cost of training</w:t>
      </w:r>
      <w:r w:rsidR="00E56E7C">
        <w:t xml:space="preserve"> as a barrier. </w:t>
      </w:r>
    </w:p>
    <w:p w14:paraId="675BA71C" w14:textId="77777777" w:rsidR="00EA7E4A" w:rsidRDefault="00EA7E4A" w:rsidP="00FE3129">
      <w:pPr>
        <w:spacing w:after="0"/>
        <w:rPr>
          <w:i/>
        </w:rPr>
      </w:pPr>
    </w:p>
    <w:p w14:paraId="4226C0C0" w14:textId="77777777" w:rsidR="00FE3129" w:rsidRPr="008F5E40" w:rsidRDefault="00FE3129" w:rsidP="00FE3129">
      <w:pPr>
        <w:spacing w:after="0"/>
        <w:rPr>
          <w:i/>
        </w:rPr>
      </w:pPr>
      <w:r>
        <w:rPr>
          <w:i/>
        </w:rPr>
        <w:t xml:space="preserve">Why central action is needed </w:t>
      </w:r>
    </w:p>
    <w:p w14:paraId="63BD6EF3" w14:textId="77777777" w:rsidR="00BA6A7D" w:rsidRDefault="00BA6A7D" w:rsidP="00FE3129">
      <w:pPr>
        <w:spacing w:after="0"/>
      </w:pPr>
    </w:p>
    <w:p w14:paraId="75563B03" w14:textId="6AB5770F" w:rsidR="00E4460B" w:rsidRDefault="00E4460B" w:rsidP="00E4460B">
      <w:pPr>
        <w:pStyle w:val="ListParagraph"/>
        <w:ind w:left="0"/>
      </w:pPr>
      <w:r>
        <w:t>We believe</w:t>
      </w:r>
      <w:r w:rsidR="006F2385">
        <w:t xml:space="preserve"> that the above figures point to </w:t>
      </w:r>
      <w:r>
        <w:t>a looming crisis in the numbers of the Teachers of the Deaf. However, there is little</w:t>
      </w:r>
      <w:r w:rsidRPr="001D3142">
        <w:t xml:space="preserve"> evidence that local authorities </w:t>
      </w:r>
      <w:r>
        <w:t>are</w:t>
      </w:r>
      <w:r w:rsidR="00D76587">
        <w:t xml:space="preserve"> taking action in response. T</w:t>
      </w:r>
      <w:r w:rsidRPr="001D3142">
        <w:t>here is little incentive for local authorities</w:t>
      </w:r>
      <w:r>
        <w:t>, particularly smaller ones,</w:t>
      </w:r>
      <w:r w:rsidRPr="001D3142">
        <w:t xml:space="preserve"> to be proactive in ensuring there</w:t>
      </w:r>
      <w:r w:rsidR="00AF5ED4">
        <w:t xml:space="preserve"> </w:t>
      </w:r>
      <w:r w:rsidR="003E4D1E">
        <w:t>are</w:t>
      </w:r>
      <w:r w:rsidRPr="001D3142">
        <w:t xml:space="preserve"> sufficient numbers of Teachers of the Deaf being trained to meet future needs. Many will not be able to meet the financial cost of training new staff whilst also employing someone who has yet to retire. </w:t>
      </w:r>
    </w:p>
    <w:p w14:paraId="0822E106" w14:textId="44C24A82" w:rsidR="00E4460B" w:rsidRDefault="00E4460B" w:rsidP="00E4460B">
      <w:pPr>
        <w:spacing w:after="0"/>
      </w:pPr>
      <w:r>
        <w:t>In 2016, NatSIP published a paper on the supply of specialist teachers of children with sensory impairments.</w:t>
      </w:r>
      <w:r>
        <w:rPr>
          <w:rStyle w:val="FootnoteReference"/>
        </w:rPr>
        <w:footnoteReference w:id="6"/>
      </w:r>
      <w:r>
        <w:t xml:space="preserve"> This identified the lack of funding to cover the costs of training as a major factor inhibiting the supply of Teachers of the Deaf. </w:t>
      </w:r>
    </w:p>
    <w:p w14:paraId="3D1F4B44" w14:textId="77777777" w:rsidR="00E4460B" w:rsidRDefault="00E4460B" w:rsidP="00E4460B">
      <w:pPr>
        <w:pStyle w:val="ListParagraph"/>
        <w:ind w:left="0"/>
      </w:pPr>
    </w:p>
    <w:p w14:paraId="63DCCCE4" w14:textId="6753C2A4" w:rsidR="00A332A9" w:rsidRPr="00DB4B63" w:rsidRDefault="00E4460B" w:rsidP="00DB4B63">
      <w:pPr>
        <w:pStyle w:val="ListParagraph"/>
        <w:ind w:left="0"/>
        <w:rPr>
          <w:i/>
        </w:rPr>
      </w:pPr>
      <w:r>
        <w:t>In light of this and given the alarming figures shown earlier, w</w:t>
      </w:r>
      <w:r w:rsidRPr="001D3142">
        <w:t>e believe a national systematic approach</w:t>
      </w:r>
      <w:r w:rsidR="00E56E7C">
        <w:t xml:space="preserve"> and the establishment of a central bursary scheme</w:t>
      </w:r>
      <w:r w:rsidRPr="001D3142">
        <w:t xml:space="preserve"> is needed to address </w:t>
      </w:r>
      <w:r>
        <w:t xml:space="preserve">this issue. </w:t>
      </w:r>
    </w:p>
    <w:p w14:paraId="281603EB" w14:textId="4C156FBC" w:rsidR="008B1DC2" w:rsidRPr="008B1DC2" w:rsidRDefault="00DB4B63" w:rsidP="00DB4B63">
      <w:pPr>
        <w:rPr>
          <w:b/>
        </w:rPr>
      </w:pPr>
      <w:r>
        <w:rPr>
          <w:b/>
        </w:rPr>
        <w:br w:type="page"/>
      </w:r>
      <w:r w:rsidR="008B1DC2">
        <w:rPr>
          <w:b/>
        </w:rPr>
        <w:lastRenderedPageBreak/>
        <w:t xml:space="preserve">How a central bursary would work – detail </w:t>
      </w:r>
    </w:p>
    <w:p w14:paraId="6BF2BF66" w14:textId="77777777" w:rsidR="008F5E40" w:rsidRPr="008F5E40" w:rsidRDefault="008F5E40" w:rsidP="00F761C7">
      <w:pPr>
        <w:spacing w:after="0"/>
        <w:rPr>
          <w:i/>
        </w:rPr>
      </w:pPr>
      <w:r>
        <w:rPr>
          <w:i/>
        </w:rPr>
        <w:t xml:space="preserve">How many Teachers of the Deaf are needed? </w:t>
      </w:r>
    </w:p>
    <w:p w14:paraId="5AA58E22" w14:textId="77777777" w:rsidR="008F5E40" w:rsidRDefault="008F5E40" w:rsidP="00F761C7">
      <w:pPr>
        <w:spacing w:after="0"/>
      </w:pPr>
    </w:p>
    <w:p w14:paraId="1C4AA5B7" w14:textId="77777777" w:rsidR="008F5E40" w:rsidRDefault="004374E5" w:rsidP="00F761C7">
      <w:pPr>
        <w:spacing w:after="0"/>
      </w:pPr>
      <w:r>
        <w:t xml:space="preserve">Identifying the ‘optimum’ </w:t>
      </w:r>
      <w:r w:rsidR="00FE3129">
        <w:t>numbers of Teachers of the Deaf is challenging.</w:t>
      </w:r>
      <w:r>
        <w:t xml:space="preserve"> There is little research on what </w:t>
      </w:r>
      <w:r w:rsidR="00D76587">
        <w:t xml:space="preserve">is </w:t>
      </w:r>
      <w:r>
        <w:t>an appropriate casel</w:t>
      </w:r>
      <w:r w:rsidR="00D76587">
        <w:t>oad for a Teacher of the Deaf</w:t>
      </w:r>
      <w:r>
        <w:t xml:space="preserve">. </w:t>
      </w:r>
    </w:p>
    <w:p w14:paraId="76C41E84" w14:textId="77777777" w:rsidR="004374E5" w:rsidRDefault="004374E5" w:rsidP="00F761C7">
      <w:pPr>
        <w:spacing w:after="0"/>
      </w:pPr>
    </w:p>
    <w:p w14:paraId="5CD3A144" w14:textId="77777777" w:rsidR="004374E5" w:rsidRDefault="004374E5" w:rsidP="00F761C7">
      <w:pPr>
        <w:spacing w:after="0"/>
      </w:pPr>
      <w:r>
        <w:t>We know that the reported number of deaf children is rising. This may be down to better reporting by local authorities - many of whom are still unable to identify how many deaf children live in their area. However, it is also likely there has been a genuine</w:t>
      </w:r>
      <w:r w:rsidR="00BA6A7D">
        <w:t xml:space="preserve"> demographic</w:t>
      </w:r>
      <w:r>
        <w:t xml:space="preserve"> increase. There is also good reason to believe that the population of deaf children is becoming more heterogeneous – i.e. we are seeing more deaf children with additional needs (children who previously would </w:t>
      </w:r>
      <w:r w:rsidR="00D76587">
        <w:t>not have survived beyond birth) and</w:t>
      </w:r>
      <w:r>
        <w:t xml:space="preserve"> from families who have migrated to this country. </w:t>
      </w:r>
    </w:p>
    <w:p w14:paraId="3DDE9C86" w14:textId="77777777" w:rsidR="004374E5" w:rsidRDefault="004374E5" w:rsidP="00F761C7">
      <w:pPr>
        <w:spacing w:after="0"/>
      </w:pPr>
    </w:p>
    <w:p w14:paraId="20278CF5" w14:textId="3893C190" w:rsidR="004374E5" w:rsidRDefault="004374E5" w:rsidP="00F761C7">
      <w:pPr>
        <w:spacing w:after="0"/>
      </w:pPr>
      <w:r>
        <w:t xml:space="preserve">We also know there is considerable unmet need. For example, relatively few specialist education services provide support to deaf young people in post-16 settings. </w:t>
      </w:r>
      <w:r w:rsidR="00AF5ED4">
        <w:t xml:space="preserve">We also know that </w:t>
      </w:r>
      <w:r w:rsidR="00AA7F4B">
        <w:t>some children with mild or unilateral hearing losses are not getting the support they once did.</w:t>
      </w:r>
    </w:p>
    <w:p w14:paraId="28576966" w14:textId="77777777" w:rsidR="004374E5" w:rsidRDefault="004374E5" w:rsidP="00F761C7">
      <w:pPr>
        <w:spacing w:after="0"/>
      </w:pPr>
    </w:p>
    <w:p w14:paraId="3C733217" w14:textId="6EC4B855" w:rsidR="004374E5" w:rsidRDefault="00E56E7C" w:rsidP="00F761C7">
      <w:pPr>
        <w:spacing w:after="0"/>
      </w:pPr>
      <w:r>
        <w:t>We</w:t>
      </w:r>
      <w:r w:rsidR="004374E5">
        <w:t xml:space="preserve"> take the view that we will know we have the optimum number of Teachers of the Deaf when there is no attainment gap between deaf children and other children</w:t>
      </w:r>
      <w:r w:rsidR="00CF61BE">
        <w:t xml:space="preserve"> and where deaf children, on average, make expected progress in line with their hearing peers of the same starting ability</w:t>
      </w:r>
      <w:r w:rsidR="004374E5">
        <w:t xml:space="preserve">. </w:t>
      </w:r>
      <w:r w:rsidR="00A332A9">
        <w:t>However, c</w:t>
      </w:r>
      <w:r w:rsidR="004374E5">
        <w:t>urrently, deaf children underachieve throughout their education – at GCSE level, on average, deaf children achieve a grade less than other children in each subject. Again, however, there is little research on how many Teachers of the Deaf wi</w:t>
      </w:r>
      <w:r w:rsidR="00BA6A7D">
        <w:t>ll be needed to ensure that every deaf</w:t>
      </w:r>
      <w:r w:rsidR="004374E5">
        <w:t xml:space="preserve"> child</w:t>
      </w:r>
      <w:r w:rsidR="00BA6A7D">
        <w:t xml:space="preserve"> across England</w:t>
      </w:r>
      <w:r w:rsidR="004374E5">
        <w:t xml:space="preserve"> reaches their full potential. </w:t>
      </w:r>
    </w:p>
    <w:p w14:paraId="2A557380" w14:textId="77777777" w:rsidR="008F5E40" w:rsidRDefault="008F5E40" w:rsidP="00F761C7">
      <w:pPr>
        <w:spacing w:after="0"/>
      </w:pPr>
    </w:p>
    <w:p w14:paraId="2B3CB27E" w14:textId="0BE080A1" w:rsidR="008F5E40" w:rsidRDefault="006154C0" w:rsidP="00F761C7">
      <w:pPr>
        <w:spacing w:after="0"/>
      </w:pPr>
      <w:r>
        <w:t>This paper proposes a ‘stem-the-tide’ approach which would look to</w:t>
      </w:r>
      <w:r w:rsidR="00CF61BE">
        <w:t xml:space="preserve"> cover existing costs</w:t>
      </w:r>
      <w:r>
        <w:t xml:space="preserve"> </w:t>
      </w:r>
      <w:r w:rsidR="00CF61BE">
        <w:t xml:space="preserve">of </w:t>
      </w:r>
      <w:r>
        <w:t>train</w:t>
      </w:r>
      <w:r w:rsidR="00CF61BE">
        <w:t>ing</w:t>
      </w:r>
      <w:r>
        <w:t xml:space="preserve"> new Teachers of the Deaf</w:t>
      </w:r>
      <w:r w:rsidR="00CF61BE">
        <w:t>, whilst funding additional numbers</w:t>
      </w:r>
      <w:r>
        <w:t xml:space="preserve"> to stem anticipated reduc</w:t>
      </w:r>
      <w:r w:rsidR="00CF61BE">
        <w:t xml:space="preserve">tions in the next three years. </w:t>
      </w:r>
      <w:r w:rsidR="00A332A9">
        <w:t xml:space="preserve">The below sets our modelling on how many places would need to be funded. </w:t>
      </w:r>
    </w:p>
    <w:p w14:paraId="1625EA01" w14:textId="77777777" w:rsidR="00CF61BE" w:rsidRDefault="00CF61BE" w:rsidP="00F761C7">
      <w:pPr>
        <w:spacing w:after="0"/>
      </w:pPr>
    </w:p>
    <w:p w14:paraId="344A8176" w14:textId="608796E9" w:rsidR="00CF61BE" w:rsidRDefault="00CF61BE" w:rsidP="00F761C7">
      <w:pPr>
        <w:spacing w:after="0"/>
      </w:pPr>
      <w:r>
        <w:t xml:space="preserve">We know that: </w:t>
      </w:r>
    </w:p>
    <w:p w14:paraId="7FE71E6F" w14:textId="77777777" w:rsidR="00CF61BE" w:rsidRDefault="00CF61BE" w:rsidP="00F761C7">
      <w:pPr>
        <w:spacing w:after="0"/>
      </w:pPr>
    </w:p>
    <w:p w14:paraId="4CB55BF5" w14:textId="12965249" w:rsidR="00CF61BE" w:rsidRDefault="00CF61BE" w:rsidP="00CF61BE">
      <w:pPr>
        <w:pStyle w:val="ListParagraph"/>
        <w:numPr>
          <w:ilvl w:val="0"/>
          <w:numId w:val="34"/>
        </w:numPr>
        <w:spacing w:after="0"/>
      </w:pPr>
      <w:r>
        <w:t xml:space="preserve">Over the past 7 years, the average number of teachers starting a Teacher of the Deaf course has been 98 </w:t>
      </w:r>
      <w:r w:rsidR="00AA7F4B">
        <w:t xml:space="preserve">(most of whom are already </w:t>
      </w:r>
      <w:r w:rsidR="00AF5ED4">
        <w:t xml:space="preserve">working </w:t>
      </w:r>
      <w:r w:rsidR="00AA7F4B">
        <w:t>as a Teacher of the Deaf)</w:t>
      </w:r>
      <w:r w:rsidR="00AF5ED4">
        <w:t>.</w:t>
      </w:r>
    </w:p>
    <w:p w14:paraId="78E6A964" w14:textId="3D7DCD13" w:rsidR="00227A13" w:rsidRDefault="00227A13" w:rsidP="00CF61BE">
      <w:pPr>
        <w:pStyle w:val="ListParagraph"/>
        <w:numPr>
          <w:ilvl w:val="0"/>
          <w:numId w:val="34"/>
        </w:numPr>
        <w:spacing w:after="0"/>
      </w:pPr>
      <w:r>
        <w:t>The average number of vacant pasts over the past 7 years has been running at 45 a year.</w:t>
      </w:r>
    </w:p>
    <w:p w14:paraId="6CC07120" w14:textId="77777777" w:rsidR="00CF61BE" w:rsidRDefault="00CF61BE" w:rsidP="00CF61BE">
      <w:pPr>
        <w:spacing w:after="0"/>
      </w:pPr>
    </w:p>
    <w:p w14:paraId="55B083C9" w14:textId="490C2DCD" w:rsidR="00CF61BE" w:rsidRDefault="00CF61BE" w:rsidP="00CF61BE">
      <w:pPr>
        <w:spacing w:after="0"/>
      </w:pPr>
      <w:r>
        <w:t xml:space="preserve">However, the above doesn’t take into account the ongoing downwards push on numbers of Teachers of the Deaf. We can make two projections around future trends. </w:t>
      </w:r>
    </w:p>
    <w:p w14:paraId="3A005B91" w14:textId="77777777" w:rsidR="00CF61BE" w:rsidRDefault="00CF61BE" w:rsidP="00CF61BE">
      <w:pPr>
        <w:spacing w:after="0"/>
      </w:pPr>
    </w:p>
    <w:p w14:paraId="7C117229" w14:textId="4A5ECF47" w:rsidR="00CF61BE" w:rsidRDefault="00227A13" w:rsidP="00CF61BE">
      <w:pPr>
        <w:pStyle w:val="ListParagraph"/>
        <w:numPr>
          <w:ilvl w:val="0"/>
          <w:numId w:val="34"/>
        </w:numPr>
        <w:spacing w:after="0"/>
      </w:pPr>
      <w:r>
        <w:t xml:space="preserve">Scenario A: </w:t>
      </w:r>
      <w:r w:rsidR="00CF61BE">
        <w:t xml:space="preserve">There has been an average 2% decrease in the number of Teachers of the Deaf over the past 7 years. </w:t>
      </w:r>
      <w:r>
        <w:t xml:space="preserve">If this continues, we can expect to see a decline of roughly </w:t>
      </w:r>
      <w:r w:rsidR="00CF61BE">
        <w:t xml:space="preserve">20 Teachers of the Deaf </w:t>
      </w:r>
      <w:r>
        <w:t xml:space="preserve">in each year over the next three years. </w:t>
      </w:r>
      <w:r w:rsidR="00CF61BE">
        <w:t xml:space="preserve"> </w:t>
      </w:r>
    </w:p>
    <w:p w14:paraId="44557878" w14:textId="540B478B" w:rsidR="00CF61BE" w:rsidRDefault="00227A13" w:rsidP="00CF61BE">
      <w:pPr>
        <w:pStyle w:val="ListParagraph"/>
        <w:numPr>
          <w:ilvl w:val="0"/>
          <w:numId w:val="34"/>
        </w:numPr>
        <w:spacing w:after="0"/>
      </w:pPr>
      <w:r>
        <w:t xml:space="preserve">Scenario B: </w:t>
      </w:r>
      <w:r w:rsidR="00CF61BE">
        <w:t xml:space="preserve">581 Teachers of the Deaf are due to retire in the next 10 to 15 years. Assuming they retire at a steady rate over the next 15 years, this equates roughly to 39 Teachers of the Deaf a year. </w:t>
      </w:r>
    </w:p>
    <w:p w14:paraId="3F04FDC0" w14:textId="77777777" w:rsidR="00227A13" w:rsidRDefault="00227A13" w:rsidP="00F761C7">
      <w:pPr>
        <w:spacing w:after="0"/>
      </w:pPr>
    </w:p>
    <w:p w14:paraId="0AE21CD3" w14:textId="31C0F7DD" w:rsidR="00227A13" w:rsidRDefault="00227A13" w:rsidP="00F761C7">
      <w:pPr>
        <w:spacing w:after="0"/>
      </w:pPr>
      <w:r>
        <w:t xml:space="preserve">As the </w:t>
      </w:r>
      <w:r w:rsidR="00A332A9">
        <w:t xml:space="preserve">following </w:t>
      </w:r>
      <w:r>
        <w:t xml:space="preserve">table shows, this indicates a need to fund between 133 to 152 places a year or between 399 to 456 over three years. </w:t>
      </w:r>
    </w:p>
    <w:p w14:paraId="5D6560D8" w14:textId="77777777" w:rsidR="00227A13" w:rsidRDefault="00227A13" w:rsidP="00F761C7">
      <w:pPr>
        <w:spacing w:after="0"/>
      </w:pPr>
    </w:p>
    <w:p w14:paraId="201D4EFF" w14:textId="77777777" w:rsidR="00A332A9" w:rsidRDefault="00A332A9">
      <w:r>
        <w:rPr>
          <w:b/>
        </w:rPr>
        <w:br w:type="page"/>
      </w:r>
    </w:p>
    <w:tbl>
      <w:tblPr>
        <w:tblStyle w:val="NDCSTableDefault"/>
        <w:tblW w:w="0" w:type="auto"/>
        <w:tblLook w:val="04A0" w:firstRow="1" w:lastRow="0" w:firstColumn="1" w:lastColumn="0" w:noHBand="0" w:noVBand="1"/>
      </w:tblPr>
      <w:tblGrid>
        <w:gridCol w:w="3397"/>
        <w:gridCol w:w="2410"/>
        <w:gridCol w:w="2410"/>
        <w:gridCol w:w="2240"/>
      </w:tblGrid>
      <w:tr w:rsidR="00227A13" w14:paraId="09EA795D" w14:textId="77777777" w:rsidTr="00A33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2BA4BF1" w14:textId="6D3B89AB" w:rsidR="00227A13" w:rsidRPr="00A332A9" w:rsidRDefault="00227A13" w:rsidP="00F761C7">
            <w:pPr>
              <w:spacing w:after="0"/>
              <w:rPr>
                <w:sz w:val="22"/>
              </w:rPr>
            </w:pPr>
          </w:p>
        </w:tc>
        <w:tc>
          <w:tcPr>
            <w:tcW w:w="2410" w:type="dxa"/>
          </w:tcPr>
          <w:p w14:paraId="20004168" w14:textId="3E62DCE8" w:rsidR="00227A13" w:rsidRPr="00A332A9" w:rsidRDefault="00227A13"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1</w:t>
            </w:r>
          </w:p>
        </w:tc>
        <w:tc>
          <w:tcPr>
            <w:tcW w:w="2410" w:type="dxa"/>
          </w:tcPr>
          <w:p w14:paraId="44D9F8FD" w14:textId="71C1748A" w:rsidR="00227A13" w:rsidRPr="00A332A9" w:rsidRDefault="00227A13"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2</w:t>
            </w:r>
          </w:p>
        </w:tc>
        <w:tc>
          <w:tcPr>
            <w:tcW w:w="2240" w:type="dxa"/>
          </w:tcPr>
          <w:p w14:paraId="7931E350" w14:textId="25A0BE2E" w:rsidR="00227A13" w:rsidRPr="00A332A9" w:rsidRDefault="00227A13"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3</w:t>
            </w:r>
          </w:p>
        </w:tc>
      </w:tr>
      <w:tr w:rsidR="00227A13" w14:paraId="48409D43"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033E9DA9" w14:textId="22ACC1DB" w:rsidR="00227A13" w:rsidRPr="00A332A9" w:rsidRDefault="00227A13" w:rsidP="00F761C7">
            <w:pPr>
              <w:spacing w:after="0"/>
              <w:rPr>
                <w:sz w:val="22"/>
              </w:rPr>
            </w:pPr>
            <w:r w:rsidRPr="00A332A9">
              <w:rPr>
                <w:sz w:val="22"/>
              </w:rPr>
              <w:t xml:space="preserve">To maintain existing numbers in training </w:t>
            </w:r>
          </w:p>
        </w:tc>
        <w:tc>
          <w:tcPr>
            <w:tcW w:w="2410" w:type="dxa"/>
          </w:tcPr>
          <w:p w14:paraId="14330AB4" w14:textId="5895AB8D"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98</w:t>
            </w:r>
          </w:p>
        </w:tc>
        <w:tc>
          <w:tcPr>
            <w:tcW w:w="2410" w:type="dxa"/>
          </w:tcPr>
          <w:p w14:paraId="052E589D" w14:textId="00E31485"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98</w:t>
            </w:r>
          </w:p>
        </w:tc>
        <w:tc>
          <w:tcPr>
            <w:tcW w:w="2240" w:type="dxa"/>
          </w:tcPr>
          <w:p w14:paraId="5E0A3282" w14:textId="2296F30E"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98</w:t>
            </w:r>
          </w:p>
        </w:tc>
      </w:tr>
      <w:tr w:rsidR="00227A13" w14:paraId="45EB670A"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71DDECBA" w14:textId="6F47FCF4" w:rsidR="00227A13" w:rsidRPr="00A332A9" w:rsidRDefault="00227A13" w:rsidP="00F761C7">
            <w:pPr>
              <w:spacing w:after="0"/>
              <w:rPr>
                <w:sz w:val="22"/>
              </w:rPr>
            </w:pPr>
            <w:r w:rsidRPr="00A332A9">
              <w:rPr>
                <w:sz w:val="22"/>
              </w:rPr>
              <w:t>To address existing number of vacant posts</w:t>
            </w:r>
          </w:p>
        </w:tc>
        <w:tc>
          <w:tcPr>
            <w:tcW w:w="7060" w:type="dxa"/>
            <w:gridSpan w:val="3"/>
          </w:tcPr>
          <w:p w14:paraId="01EEEC49" w14:textId="51827CC1" w:rsidR="00227A13" w:rsidRPr="00A332A9" w:rsidRDefault="00227A13" w:rsidP="00227A13">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A332A9">
              <w:rPr>
                <w:sz w:val="22"/>
              </w:rPr>
              <w:t>45 (or 15 a year)</w:t>
            </w:r>
          </w:p>
        </w:tc>
      </w:tr>
      <w:tr w:rsidR="00227A13" w14:paraId="67AF8EB3" w14:textId="77777777" w:rsidTr="00A332A9">
        <w:trPr>
          <w:trHeight w:val="138"/>
        </w:trPr>
        <w:tc>
          <w:tcPr>
            <w:cnfStyle w:val="001000000000" w:firstRow="0" w:lastRow="0" w:firstColumn="1" w:lastColumn="0" w:oddVBand="0" w:evenVBand="0" w:oddHBand="0" w:evenHBand="0" w:firstRowFirstColumn="0" w:firstRowLastColumn="0" w:lastRowFirstColumn="0" w:lastRowLastColumn="0"/>
            <w:tcW w:w="3397" w:type="dxa"/>
          </w:tcPr>
          <w:p w14:paraId="09E41933" w14:textId="77777777" w:rsidR="00227A13" w:rsidRPr="00A332A9" w:rsidRDefault="00227A13" w:rsidP="00F761C7">
            <w:pPr>
              <w:spacing w:after="0"/>
              <w:rPr>
                <w:sz w:val="22"/>
              </w:rPr>
            </w:pPr>
          </w:p>
        </w:tc>
        <w:tc>
          <w:tcPr>
            <w:tcW w:w="2410" w:type="dxa"/>
          </w:tcPr>
          <w:p w14:paraId="0EA75EFF"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c>
          <w:tcPr>
            <w:tcW w:w="2410" w:type="dxa"/>
          </w:tcPr>
          <w:p w14:paraId="45F40938"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c>
          <w:tcPr>
            <w:tcW w:w="2240" w:type="dxa"/>
          </w:tcPr>
          <w:p w14:paraId="3E12861B"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r>
      <w:tr w:rsidR="00227A13" w14:paraId="57B2AB50"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72DCBF27" w14:textId="15F8E91C" w:rsidR="00227A13" w:rsidRPr="00A332A9" w:rsidRDefault="00227A13" w:rsidP="00F761C7">
            <w:pPr>
              <w:spacing w:after="0"/>
              <w:rPr>
                <w:sz w:val="22"/>
              </w:rPr>
            </w:pPr>
            <w:r w:rsidRPr="00A332A9">
              <w:rPr>
                <w:sz w:val="22"/>
              </w:rPr>
              <w:t>To address scenario A</w:t>
            </w:r>
          </w:p>
        </w:tc>
        <w:tc>
          <w:tcPr>
            <w:tcW w:w="2410" w:type="dxa"/>
          </w:tcPr>
          <w:p w14:paraId="199E27D1" w14:textId="0913875B"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20</w:t>
            </w:r>
          </w:p>
        </w:tc>
        <w:tc>
          <w:tcPr>
            <w:tcW w:w="2410" w:type="dxa"/>
          </w:tcPr>
          <w:p w14:paraId="636A3F16" w14:textId="4594D7EC"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20</w:t>
            </w:r>
          </w:p>
        </w:tc>
        <w:tc>
          <w:tcPr>
            <w:tcW w:w="2240" w:type="dxa"/>
          </w:tcPr>
          <w:p w14:paraId="7E0317BD" w14:textId="7A2C45FB"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20</w:t>
            </w:r>
          </w:p>
        </w:tc>
      </w:tr>
      <w:tr w:rsidR="00227A13" w14:paraId="77BA0B05"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7C630D6D" w14:textId="24E74D18" w:rsidR="00227A13" w:rsidRPr="00A332A9" w:rsidRDefault="00227A13" w:rsidP="00F761C7">
            <w:pPr>
              <w:spacing w:after="0"/>
              <w:rPr>
                <w:sz w:val="22"/>
              </w:rPr>
            </w:pPr>
            <w:r w:rsidRPr="00A332A9">
              <w:rPr>
                <w:sz w:val="22"/>
              </w:rPr>
              <w:t>To address scenario B</w:t>
            </w:r>
          </w:p>
        </w:tc>
        <w:tc>
          <w:tcPr>
            <w:tcW w:w="2410" w:type="dxa"/>
          </w:tcPr>
          <w:p w14:paraId="7F0707FA" w14:textId="22A7CE26"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39</w:t>
            </w:r>
          </w:p>
        </w:tc>
        <w:tc>
          <w:tcPr>
            <w:tcW w:w="2410" w:type="dxa"/>
          </w:tcPr>
          <w:p w14:paraId="4BCA0BEA" w14:textId="180F6BD0"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39</w:t>
            </w:r>
          </w:p>
        </w:tc>
        <w:tc>
          <w:tcPr>
            <w:tcW w:w="2240" w:type="dxa"/>
          </w:tcPr>
          <w:p w14:paraId="2137E0DC" w14:textId="0F85B8CE"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39</w:t>
            </w:r>
          </w:p>
        </w:tc>
      </w:tr>
      <w:tr w:rsidR="00227A13" w14:paraId="13986C1C"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3745BA60" w14:textId="77777777" w:rsidR="00227A13" w:rsidRPr="00A332A9" w:rsidRDefault="00227A13" w:rsidP="00F761C7">
            <w:pPr>
              <w:spacing w:after="0"/>
              <w:rPr>
                <w:sz w:val="22"/>
              </w:rPr>
            </w:pPr>
          </w:p>
        </w:tc>
        <w:tc>
          <w:tcPr>
            <w:tcW w:w="2410" w:type="dxa"/>
          </w:tcPr>
          <w:p w14:paraId="090BBC96"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c>
          <w:tcPr>
            <w:tcW w:w="2410" w:type="dxa"/>
          </w:tcPr>
          <w:p w14:paraId="224E7374"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c>
          <w:tcPr>
            <w:tcW w:w="2240" w:type="dxa"/>
          </w:tcPr>
          <w:p w14:paraId="36AFDC05"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p>
        </w:tc>
      </w:tr>
      <w:tr w:rsidR="00227A13" w14:paraId="13B2D250"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59781BCD" w14:textId="7D463EBF" w:rsidR="00227A13" w:rsidRPr="00A332A9" w:rsidRDefault="00227A13" w:rsidP="00F761C7">
            <w:pPr>
              <w:spacing w:after="0"/>
              <w:rPr>
                <w:sz w:val="22"/>
              </w:rPr>
            </w:pPr>
            <w:r w:rsidRPr="00A332A9">
              <w:rPr>
                <w:sz w:val="22"/>
              </w:rPr>
              <w:t>Total</w:t>
            </w:r>
          </w:p>
        </w:tc>
        <w:tc>
          <w:tcPr>
            <w:tcW w:w="2410" w:type="dxa"/>
          </w:tcPr>
          <w:p w14:paraId="6FCF7910" w14:textId="4C7FE910"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133 to 152</w:t>
            </w:r>
          </w:p>
        </w:tc>
        <w:tc>
          <w:tcPr>
            <w:tcW w:w="2410" w:type="dxa"/>
          </w:tcPr>
          <w:p w14:paraId="056442BE" w14:textId="265AA14C"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133 to 152</w:t>
            </w:r>
          </w:p>
        </w:tc>
        <w:tc>
          <w:tcPr>
            <w:tcW w:w="2240" w:type="dxa"/>
          </w:tcPr>
          <w:p w14:paraId="72612419" w14:textId="7DEAB08E"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133 to 152</w:t>
            </w:r>
          </w:p>
        </w:tc>
      </w:tr>
      <w:tr w:rsidR="00227A13" w14:paraId="180FB629" w14:textId="77777777" w:rsidTr="00A332A9">
        <w:tc>
          <w:tcPr>
            <w:cnfStyle w:val="001000000000" w:firstRow="0" w:lastRow="0" w:firstColumn="1" w:lastColumn="0" w:oddVBand="0" w:evenVBand="0" w:oddHBand="0" w:evenHBand="0" w:firstRowFirstColumn="0" w:firstRowLastColumn="0" w:lastRowFirstColumn="0" w:lastRowLastColumn="0"/>
            <w:tcW w:w="3397" w:type="dxa"/>
          </w:tcPr>
          <w:p w14:paraId="147D81A0" w14:textId="0F4BC2AB" w:rsidR="00227A13" w:rsidRPr="00A332A9" w:rsidRDefault="00227A13" w:rsidP="00F761C7">
            <w:pPr>
              <w:spacing w:after="0"/>
              <w:rPr>
                <w:sz w:val="22"/>
              </w:rPr>
            </w:pPr>
            <w:r w:rsidRPr="00A332A9">
              <w:rPr>
                <w:sz w:val="22"/>
              </w:rPr>
              <w:t xml:space="preserve">Total over three years </w:t>
            </w:r>
          </w:p>
        </w:tc>
        <w:tc>
          <w:tcPr>
            <w:tcW w:w="7060" w:type="dxa"/>
            <w:gridSpan w:val="3"/>
          </w:tcPr>
          <w:p w14:paraId="4844F249" w14:textId="3B5CF2A9" w:rsidR="00227A13" w:rsidRPr="00A332A9" w:rsidRDefault="00227A13" w:rsidP="00227A13">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A332A9">
              <w:rPr>
                <w:sz w:val="22"/>
              </w:rPr>
              <w:t>399 to 456</w:t>
            </w:r>
          </w:p>
        </w:tc>
      </w:tr>
    </w:tbl>
    <w:p w14:paraId="61D5F925" w14:textId="77777777" w:rsidR="008F5E40" w:rsidRDefault="008F5E40" w:rsidP="00F761C7">
      <w:pPr>
        <w:spacing w:after="0"/>
      </w:pPr>
    </w:p>
    <w:p w14:paraId="68C3F9F9" w14:textId="77777777" w:rsidR="00716ACB" w:rsidRDefault="00716ACB" w:rsidP="00F761C7">
      <w:pPr>
        <w:spacing w:after="0"/>
        <w:rPr>
          <w:i/>
        </w:rPr>
      </w:pPr>
      <w:r>
        <w:rPr>
          <w:i/>
        </w:rPr>
        <w:t xml:space="preserve">The cost of training </w:t>
      </w:r>
    </w:p>
    <w:p w14:paraId="4159B720" w14:textId="77777777" w:rsidR="00716ACB" w:rsidRDefault="00716ACB" w:rsidP="00F761C7">
      <w:pPr>
        <w:spacing w:after="0"/>
      </w:pPr>
    </w:p>
    <w:p w14:paraId="29D30F28" w14:textId="77777777" w:rsidR="006154C0" w:rsidRPr="006154C0" w:rsidRDefault="00D76587" w:rsidP="00F761C7">
      <w:pPr>
        <w:spacing w:after="0"/>
      </w:pPr>
      <w:r>
        <w:t xml:space="preserve">The below table provides figures for the cost of a two-year post-graduate qualification. </w:t>
      </w:r>
    </w:p>
    <w:p w14:paraId="20F944C7" w14:textId="77777777" w:rsidR="006154C0" w:rsidRDefault="006154C0" w:rsidP="00F761C7">
      <w:pPr>
        <w:spacing w:after="0"/>
      </w:pPr>
    </w:p>
    <w:tbl>
      <w:tblPr>
        <w:tblStyle w:val="NDCSTableDefault"/>
        <w:tblW w:w="0" w:type="auto"/>
        <w:tblLook w:val="04A0" w:firstRow="1" w:lastRow="0" w:firstColumn="1" w:lastColumn="0" w:noHBand="0" w:noVBand="1"/>
      </w:tblPr>
      <w:tblGrid>
        <w:gridCol w:w="3539"/>
        <w:gridCol w:w="3544"/>
      </w:tblGrid>
      <w:tr w:rsidR="00227A13" w:rsidRPr="006154C0" w14:paraId="15C23C0B" w14:textId="77777777" w:rsidTr="00C30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5D05891" w14:textId="77777777" w:rsidR="00227A13" w:rsidRPr="00A332A9" w:rsidRDefault="00227A13" w:rsidP="00D76587">
            <w:pPr>
              <w:spacing w:before="0" w:after="0"/>
              <w:rPr>
                <w:sz w:val="22"/>
              </w:rPr>
            </w:pPr>
            <w:r w:rsidRPr="00A332A9">
              <w:rPr>
                <w:sz w:val="22"/>
              </w:rPr>
              <w:t>Training provider</w:t>
            </w:r>
          </w:p>
        </w:tc>
        <w:tc>
          <w:tcPr>
            <w:tcW w:w="3544" w:type="dxa"/>
            <w:vAlign w:val="center"/>
          </w:tcPr>
          <w:p w14:paraId="74E27715" w14:textId="5880ED82" w:rsidR="00227A13" w:rsidRPr="00A332A9" w:rsidRDefault="00227A13" w:rsidP="00D7658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2018/19</w:t>
            </w:r>
            <w:r w:rsidR="00C30CDF" w:rsidRPr="00A332A9">
              <w:rPr>
                <w:sz w:val="22"/>
              </w:rPr>
              <w:t xml:space="preserve"> costs </w:t>
            </w:r>
          </w:p>
        </w:tc>
      </w:tr>
      <w:tr w:rsidR="00227A13" w:rsidRPr="006154C0" w14:paraId="24EEA0E2" w14:textId="77777777" w:rsidTr="00C30CDF">
        <w:tc>
          <w:tcPr>
            <w:cnfStyle w:val="001000000000" w:firstRow="0" w:lastRow="0" w:firstColumn="1" w:lastColumn="0" w:oddVBand="0" w:evenVBand="0" w:oddHBand="0" w:evenHBand="0" w:firstRowFirstColumn="0" w:firstRowLastColumn="0" w:lastRowFirstColumn="0" w:lastRowLastColumn="0"/>
            <w:tcW w:w="3539" w:type="dxa"/>
          </w:tcPr>
          <w:p w14:paraId="578634E8" w14:textId="77777777" w:rsidR="00227A13" w:rsidRPr="00A332A9" w:rsidRDefault="00227A13" w:rsidP="00F761C7">
            <w:pPr>
              <w:spacing w:before="0" w:after="0"/>
              <w:rPr>
                <w:b w:val="0"/>
                <w:sz w:val="22"/>
              </w:rPr>
            </w:pPr>
            <w:r w:rsidRPr="00A332A9">
              <w:rPr>
                <w:b w:val="0"/>
                <w:sz w:val="22"/>
              </w:rPr>
              <w:t>Mary Hare/University of Hertfordshire</w:t>
            </w:r>
          </w:p>
        </w:tc>
        <w:tc>
          <w:tcPr>
            <w:tcW w:w="3544" w:type="dxa"/>
          </w:tcPr>
          <w:p w14:paraId="52A889FD" w14:textId="0313182D" w:rsidR="00227A13" w:rsidRPr="00A332A9" w:rsidRDefault="00C30CDF"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£7,800</w:t>
            </w:r>
          </w:p>
        </w:tc>
      </w:tr>
      <w:tr w:rsidR="00227A13" w:rsidRPr="006154C0" w14:paraId="624F1FD4" w14:textId="77777777" w:rsidTr="00C30CDF">
        <w:tc>
          <w:tcPr>
            <w:cnfStyle w:val="001000000000" w:firstRow="0" w:lastRow="0" w:firstColumn="1" w:lastColumn="0" w:oddVBand="0" w:evenVBand="0" w:oddHBand="0" w:evenHBand="0" w:firstRowFirstColumn="0" w:firstRowLastColumn="0" w:lastRowFirstColumn="0" w:lastRowLastColumn="0"/>
            <w:tcW w:w="3539" w:type="dxa"/>
          </w:tcPr>
          <w:p w14:paraId="719EBD7D" w14:textId="77777777" w:rsidR="00227A13" w:rsidRPr="00A332A9" w:rsidRDefault="00227A13" w:rsidP="00F761C7">
            <w:pPr>
              <w:spacing w:before="0" w:after="0"/>
              <w:rPr>
                <w:b w:val="0"/>
                <w:sz w:val="22"/>
              </w:rPr>
            </w:pPr>
            <w:r w:rsidRPr="00A332A9">
              <w:rPr>
                <w:b w:val="0"/>
                <w:sz w:val="22"/>
              </w:rPr>
              <w:t>University of Birmingham</w:t>
            </w:r>
          </w:p>
        </w:tc>
        <w:tc>
          <w:tcPr>
            <w:tcW w:w="3544" w:type="dxa"/>
          </w:tcPr>
          <w:p w14:paraId="71D857DF"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£8,004</w:t>
            </w:r>
          </w:p>
        </w:tc>
      </w:tr>
      <w:tr w:rsidR="00227A13" w:rsidRPr="006154C0" w14:paraId="1B9F9AB7" w14:textId="77777777" w:rsidTr="00C30CDF">
        <w:tc>
          <w:tcPr>
            <w:cnfStyle w:val="001000000000" w:firstRow="0" w:lastRow="0" w:firstColumn="1" w:lastColumn="0" w:oddVBand="0" w:evenVBand="0" w:oddHBand="0" w:evenHBand="0" w:firstRowFirstColumn="0" w:firstRowLastColumn="0" w:lastRowFirstColumn="0" w:lastRowLastColumn="0"/>
            <w:tcW w:w="3539" w:type="dxa"/>
          </w:tcPr>
          <w:p w14:paraId="1084EB99" w14:textId="77777777" w:rsidR="00227A13" w:rsidRPr="00A332A9" w:rsidRDefault="00227A13" w:rsidP="00F761C7">
            <w:pPr>
              <w:spacing w:before="0" w:after="0"/>
              <w:rPr>
                <w:b w:val="0"/>
                <w:sz w:val="22"/>
              </w:rPr>
            </w:pPr>
            <w:r w:rsidRPr="00A332A9">
              <w:rPr>
                <w:b w:val="0"/>
                <w:sz w:val="22"/>
              </w:rPr>
              <w:t xml:space="preserve">University of Leeds </w:t>
            </w:r>
          </w:p>
        </w:tc>
        <w:tc>
          <w:tcPr>
            <w:tcW w:w="3544" w:type="dxa"/>
          </w:tcPr>
          <w:p w14:paraId="564F0F6B"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£8,000</w:t>
            </w:r>
          </w:p>
        </w:tc>
      </w:tr>
      <w:tr w:rsidR="00227A13" w:rsidRPr="006154C0" w14:paraId="60A22876" w14:textId="77777777" w:rsidTr="00C30CDF">
        <w:tc>
          <w:tcPr>
            <w:cnfStyle w:val="001000000000" w:firstRow="0" w:lastRow="0" w:firstColumn="1" w:lastColumn="0" w:oddVBand="0" w:evenVBand="0" w:oddHBand="0" w:evenHBand="0" w:firstRowFirstColumn="0" w:firstRowLastColumn="0" w:lastRowFirstColumn="0" w:lastRowLastColumn="0"/>
            <w:tcW w:w="3539" w:type="dxa"/>
          </w:tcPr>
          <w:p w14:paraId="54FF1960" w14:textId="77777777" w:rsidR="00227A13" w:rsidRPr="00A332A9" w:rsidRDefault="00227A13" w:rsidP="00F761C7">
            <w:pPr>
              <w:spacing w:before="0" w:after="0"/>
              <w:rPr>
                <w:b w:val="0"/>
                <w:sz w:val="22"/>
              </w:rPr>
            </w:pPr>
            <w:r w:rsidRPr="00A332A9">
              <w:rPr>
                <w:b w:val="0"/>
                <w:sz w:val="22"/>
              </w:rPr>
              <w:t>University of Manchester</w:t>
            </w:r>
          </w:p>
        </w:tc>
        <w:tc>
          <w:tcPr>
            <w:tcW w:w="3544" w:type="dxa"/>
          </w:tcPr>
          <w:p w14:paraId="597D48DF" w14:textId="77777777" w:rsidR="00227A13" w:rsidRPr="00A332A9" w:rsidRDefault="00227A13" w:rsidP="00F761C7">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£7,600</w:t>
            </w:r>
          </w:p>
        </w:tc>
      </w:tr>
      <w:tr w:rsidR="00227A13" w:rsidRPr="006154C0" w14:paraId="375E2B7D" w14:textId="77777777" w:rsidTr="00C30CDF">
        <w:tc>
          <w:tcPr>
            <w:cnfStyle w:val="001000000000" w:firstRow="0" w:lastRow="0" w:firstColumn="1" w:lastColumn="0" w:oddVBand="0" w:evenVBand="0" w:oddHBand="0" w:evenHBand="0" w:firstRowFirstColumn="0" w:firstRowLastColumn="0" w:lastRowFirstColumn="0" w:lastRowLastColumn="0"/>
            <w:tcW w:w="3539" w:type="dxa"/>
          </w:tcPr>
          <w:p w14:paraId="47F720E4" w14:textId="77777777" w:rsidR="00227A13" w:rsidRPr="00A332A9" w:rsidRDefault="00227A13" w:rsidP="00F761C7">
            <w:pPr>
              <w:spacing w:before="0" w:after="0"/>
              <w:rPr>
                <w:sz w:val="22"/>
              </w:rPr>
            </w:pPr>
            <w:r w:rsidRPr="00A332A9">
              <w:rPr>
                <w:sz w:val="22"/>
              </w:rPr>
              <w:t xml:space="preserve">Average </w:t>
            </w:r>
          </w:p>
        </w:tc>
        <w:tc>
          <w:tcPr>
            <w:tcW w:w="3544" w:type="dxa"/>
          </w:tcPr>
          <w:p w14:paraId="6EB5A57D" w14:textId="20749006" w:rsidR="00227A13"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sz w:val="22"/>
              </w:rPr>
              <w:t>£7,851</w:t>
            </w:r>
          </w:p>
        </w:tc>
      </w:tr>
    </w:tbl>
    <w:p w14:paraId="32B72604" w14:textId="77777777" w:rsidR="006154C0" w:rsidRDefault="006154C0" w:rsidP="00F761C7">
      <w:pPr>
        <w:spacing w:after="0"/>
      </w:pPr>
    </w:p>
    <w:p w14:paraId="494521AD" w14:textId="7FD13138" w:rsidR="00227A13" w:rsidRDefault="00C30CDF" w:rsidP="00F761C7">
      <w:pPr>
        <w:spacing w:after="0"/>
      </w:pPr>
      <w:r>
        <w:t xml:space="preserve">This paper assumes that the above fees will rise by around 2% a year. If so, the average yearly or ‘unit’ cost between 2019 and 2022 of a course will be £8,169. </w:t>
      </w:r>
    </w:p>
    <w:p w14:paraId="226638CD" w14:textId="77777777" w:rsidR="00C30CDF" w:rsidRDefault="00C30CDF" w:rsidP="00F761C7">
      <w:pPr>
        <w:spacing w:after="0"/>
      </w:pPr>
    </w:p>
    <w:tbl>
      <w:tblPr>
        <w:tblStyle w:val="NDCSTableDefault"/>
        <w:tblW w:w="0" w:type="auto"/>
        <w:tblLook w:val="04A0" w:firstRow="1" w:lastRow="0" w:firstColumn="1" w:lastColumn="0" w:noHBand="0" w:noVBand="1"/>
      </w:tblPr>
      <w:tblGrid>
        <w:gridCol w:w="2091"/>
        <w:gridCol w:w="2091"/>
        <w:gridCol w:w="2091"/>
        <w:gridCol w:w="2092"/>
        <w:gridCol w:w="2092"/>
      </w:tblGrid>
      <w:tr w:rsidR="00C30CDF" w14:paraId="25AB804B" w14:textId="77777777" w:rsidTr="00C30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9C1F046" w14:textId="77777777" w:rsidR="00C30CDF" w:rsidRPr="00A332A9" w:rsidRDefault="00C30CDF" w:rsidP="00F761C7">
            <w:pPr>
              <w:spacing w:after="0"/>
              <w:rPr>
                <w:sz w:val="22"/>
              </w:rPr>
            </w:pPr>
          </w:p>
        </w:tc>
        <w:tc>
          <w:tcPr>
            <w:tcW w:w="2091" w:type="dxa"/>
          </w:tcPr>
          <w:p w14:paraId="402B791C" w14:textId="7D182CBF"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2018/19</w:t>
            </w:r>
          </w:p>
        </w:tc>
        <w:tc>
          <w:tcPr>
            <w:tcW w:w="2091" w:type="dxa"/>
          </w:tcPr>
          <w:p w14:paraId="5ED1EC2E" w14:textId="2379A675"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2019/20</w:t>
            </w:r>
          </w:p>
        </w:tc>
        <w:tc>
          <w:tcPr>
            <w:tcW w:w="2092" w:type="dxa"/>
          </w:tcPr>
          <w:p w14:paraId="365E85B7" w14:textId="0CF38EC7"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2020/21</w:t>
            </w:r>
          </w:p>
        </w:tc>
        <w:tc>
          <w:tcPr>
            <w:tcW w:w="2092" w:type="dxa"/>
          </w:tcPr>
          <w:p w14:paraId="633C91A0" w14:textId="76B92B93"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2021/22</w:t>
            </w:r>
          </w:p>
        </w:tc>
      </w:tr>
      <w:tr w:rsidR="00C30CDF" w14:paraId="32F38EFA" w14:textId="77777777" w:rsidTr="00ED17AB">
        <w:tc>
          <w:tcPr>
            <w:cnfStyle w:val="001000000000" w:firstRow="0" w:lastRow="0" w:firstColumn="1" w:lastColumn="0" w:oddVBand="0" w:evenVBand="0" w:oddHBand="0" w:evenHBand="0" w:firstRowFirstColumn="0" w:firstRowLastColumn="0" w:lastRowFirstColumn="0" w:lastRowLastColumn="0"/>
            <w:tcW w:w="2091" w:type="dxa"/>
            <w:vAlign w:val="center"/>
          </w:tcPr>
          <w:p w14:paraId="3F657691" w14:textId="354F5572" w:rsidR="00C30CDF" w:rsidRPr="00A332A9" w:rsidRDefault="00C30CDF" w:rsidP="00C30CDF">
            <w:pPr>
              <w:spacing w:after="0"/>
              <w:rPr>
                <w:sz w:val="22"/>
              </w:rPr>
            </w:pPr>
            <w:r w:rsidRPr="00A332A9">
              <w:rPr>
                <w:rFonts w:ascii="Calibri" w:hAnsi="Calibri"/>
                <w:color w:val="000000"/>
                <w:sz w:val="22"/>
              </w:rPr>
              <w:t xml:space="preserve">Average </w:t>
            </w:r>
          </w:p>
        </w:tc>
        <w:tc>
          <w:tcPr>
            <w:tcW w:w="2091" w:type="dxa"/>
            <w:vAlign w:val="bottom"/>
          </w:tcPr>
          <w:p w14:paraId="328270CB" w14:textId="5188CA30" w:rsidR="00C30CDF"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£7,851</w:t>
            </w:r>
          </w:p>
        </w:tc>
        <w:tc>
          <w:tcPr>
            <w:tcW w:w="2091" w:type="dxa"/>
            <w:vAlign w:val="bottom"/>
          </w:tcPr>
          <w:p w14:paraId="512DE699" w14:textId="07C17E10" w:rsidR="00C30CDF"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£8,008</w:t>
            </w:r>
          </w:p>
        </w:tc>
        <w:tc>
          <w:tcPr>
            <w:tcW w:w="2092" w:type="dxa"/>
            <w:vAlign w:val="bottom"/>
          </w:tcPr>
          <w:p w14:paraId="68F46707" w14:textId="250DF17F" w:rsidR="00C30CDF"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£8,168</w:t>
            </w:r>
          </w:p>
        </w:tc>
        <w:tc>
          <w:tcPr>
            <w:tcW w:w="2092" w:type="dxa"/>
            <w:vAlign w:val="bottom"/>
          </w:tcPr>
          <w:p w14:paraId="03216385" w14:textId="22F66C21" w:rsidR="00C30CDF"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£8,332</w:t>
            </w:r>
          </w:p>
        </w:tc>
      </w:tr>
      <w:tr w:rsidR="00C30CDF" w14:paraId="73EED9D4" w14:textId="77777777" w:rsidTr="00593A85">
        <w:tc>
          <w:tcPr>
            <w:cnfStyle w:val="001000000000" w:firstRow="0" w:lastRow="0" w:firstColumn="1" w:lastColumn="0" w:oddVBand="0" w:evenVBand="0" w:oddHBand="0" w:evenHBand="0" w:firstRowFirstColumn="0" w:firstRowLastColumn="0" w:lastRowFirstColumn="0" w:lastRowLastColumn="0"/>
            <w:tcW w:w="2091" w:type="dxa"/>
            <w:vAlign w:val="center"/>
          </w:tcPr>
          <w:p w14:paraId="6ADC78CA" w14:textId="2D27A203" w:rsidR="00C30CDF" w:rsidRPr="00A332A9" w:rsidRDefault="00C30CDF" w:rsidP="00C30CDF">
            <w:pPr>
              <w:spacing w:after="0"/>
              <w:rPr>
                <w:rFonts w:ascii="Calibri" w:hAnsi="Calibri"/>
                <w:color w:val="000000"/>
                <w:sz w:val="22"/>
              </w:rPr>
            </w:pPr>
            <w:r w:rsidRPr="00A332A9">
              <w:rPr>
                <w:rFonts w:ascii="Calibri" w:hAnsi="Calibri"/>
                <w:color w:val="000000"/>
                <w:sz w:val="22"/>
              </w:rPr>
              <w:t>Average per year</w:t>
            </w:r>
          </w:p>
        </w:tc>
        <w:tc>
          <w:tcPr>
            <w:tcW w:w="2091" w:type="dxa"/>
            <w:vAlign w:val="bottom"/>
          </w:tcPr>
          <w:p w14:paraId="2712C2D6" w14:textId="77777777" w:rsidR="00C30CDF" w:rsidRPr="00A332A9" w:rsidRDefault="00C30CDF" w:rsidP="00C30CDF">
            <w:pPr>
              <w:spacing w:after="0"/>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p>
        </w:tc>
        <w:tc>
          <w:tcPr>
            <w:tcW w:w="6275" w:type="dxa"/>
            <w:gridSpan w:val="3"/>
            <w:vAlign w:val="bottom"/>
          </w:tcPr>
          <w:p w14:paraId="446BBAEC" w14:textId="38315493" w:rsidR="00C30CDF" w:rsidRPr="00A332A9" w:rsidRDefault="00C30CDF" w:rsidP="00C30CD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sidRPr="00A332A9">
              <w:rPr>
                <w:rFonts w:ascii="Calibri" w:hAnsi="Calibri"/>
                <w:color w:val="000000"/>
                <w:sz w:val="22"/>
              </w:rPr>
              <w:t>£8,169</w:t>
            </w:r>
          </w:p>
        </w:tc>
      </w:tr>
    </w:tbl>
    <w:p w14:paraId="469DC91E" w14:textId="77777777" w:rsidR="00C30CDF" w:rsidRDefault="00C30CDF" w:rsidP="00F761C7">
      <w:pPr>
        <w:spacing w:after="0"/>
      </w:pPr>
    </w:p>
    <w:p w14:paraId="57866C5C" w14:textId="6AC8D9AB" w:rsidR="00C30CDF" w:rsidRDefault="00C30CDF" w:rsidP="00F761C7">
      <w:pPr>
        <w:spacing w:after="0"/>
      </w:pPr>
      <w:r>
        <w:t xml:space="preserve">The above does not include the additional costs involved in training as Teachers of the Deaf. In particular, it does not include travel/accommodation costs for candidates nor does it include any costs around supply cover for schools/services. This paper assumes that these costs will be covered by schools or services. </w:t>
      </w:r>
    </w:p>
    <w:p w14:paraId="4CBD3BE6" w14:textId="77777777" w:rsidR="00E4460B" w:rsidRDefault="00E4460B" w:rsidP="00F761C7">
      <w:pPr>
        <w:spacing w:after="0"/>
      </w:pPr>
    </w:p>
    <w:p w14:paraId="056E98AE" w14:textId="7013A662" w:rsidR="00C30CDF" w:rsidRDefault="00C30CDF" w:rsidP="00F761C7">
      <w:pPr>
        <w:spacing w:after="0"/>
        <w:rPr>
          <w:i/>
        </w:rPr>
      </w:pPr>
      <w:r>
        <w:rPr>
          <w:i/>
        </w:rPr>
        <w:t xml:space="preserve">The cost of a bursary </w:t>
      </w:r>
    </w:p>
    <w:p w14:paraId="3CD93C68" w14:textId="77777777" w:rsidR="0016451E" w:rsidRDefault="0016451E" w:rsidP="00F761C7">
      <w:pPr>
        <w:spacing w:after="0"/>
        <w:rPr>
          <w:i/>
        </w:rPr>
      </w:pPr>
    </w:p>
    <w:p w14:paraId="74EF376C" w14:textId="2BDF677A" w:rsidR="0016451E" w:rsidRPr="0016451E" w:rsidRDefault="0016451E" w:rsidP="00F761C7">
      <w:pPr>
        <w:spacing w:after="0"/>
      </w:pPr>
      <w:r>
        <w:t xml:space="preserve">The </w:t>
      </w:r>
      <w:r w:rsidR="00AA7F4B">
        <w:t>table below</w:t>
      </w:r>
      <w:r>
        <w:t xml:space="preserve"> calculates the potential total costs </w:t>
      </w:r>
    </w:p>
    <w:p w14:paraId="0AC2D936" w14:textId="77777777" w:rsidR="00C30CDF" w:rsidRDefault="00C30CDF" w:rsidP="00F761C7">
      <w:pPr>
        <w:spacing w:after="0"/>
        <w:rPr>
          <w:i/>
        </w:rPr>
      </w:pPr>
    </w:p>
    <w:tbl>
      <w:tblPr>
        <w:tblStyle w:val="NDCSTableDefault"/>
        <w:tblW w:w="0" w:type="auto"/>
        <w:tblLook w:val="04A0" w:firstRow="1" w:lastRow="0" w:firstColumn="1" w:lastColumn="0" w:noHBand="0" w:noVBand="1"/>
      </w:tblPr>
      <w:tblGrid>
        <w:gridCol w:w="3114"/>
        <w:gridCol w:w="1984"/>
        <w:gridCol w:w="1843"/>
        <w:gridCol w:w="1843"/>
        <w:gridCol w:w="1673"/>
      </w:tblGrid>
      <w:tr w:rsidR="00C30CDF" w14:paraId="216D954B" w14:textId="6E06D5DB" w:rsidTr="00A33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F8BDC7E" w14:textId="77777777" w:rsidR="00C30CDF" w:rsidRPr="00A332A9" w:rsidRDefault="00C30CDF" w:rsidP="00F761C7">
            <w:pPr>
              <w:spacing w:after="0"/>
              <w:rPr>
                <w:sz w:val="22"/>
              </w:rPr>
            </w:pPr>
          </w:p>
        </w:tc>
        <w:tc>
          <w:tcPr>
            <w:tcW w:w="1984" w:type="dxa"/>
          </w:tcPr>
          <w:p w14:paraId="6396CBBA" w14:textId="71EADA3B"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 xml:space="preserve">Year 1 </w:t>
            </w:r>
          </w:p>
        </w:tc>
        <w:tc>
          <w:tcPr>
            <w:tcW w:w="1843" w:type="dxa"/>
          </w:tcPr>
          <w:p w14:paraId="2B128573" w14:textId="59C30105"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2</w:t>
            </w:r>
          </w:p>
        </w:tc>
        <w:tc>
          <w:tcPr>
            <w:tcW w:w="1843" w:type="dxa"/>
          </w:tcPr>
          <w:p w14:paraId="00964F51" w14:textId="03101768"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3</w:t>
            </w:r>
          </w:p>
        </w:tc>
        <w:tc>
          <w:tcPr>
            <w:tcW w:w="1673" w:type="dxa"/>
          </w:tcPr>
          <w:p w14:paraId="17471B63" w14:textId="5B37D4C0" w:rsidR="00C30CDF" w:rsidRPr="00A332A9" w:rsidRDefault="00C30CDF" w:rsidP="00F761C7">
            <w:pPr>
              <w:spacing w:after="0"/>
              <w:cnfStyle w:val="100000000000" w:firstRow="1" w:lastRow="0" w:firstColumn="0" w:lastColumn="0" w:oddVBand="0" w:evenVBand="0" w:oddHBand="0" w:evenHBand="0" w:firstRowFirstColumn="0" w:firstRowLastColumn="0" w:lastRowFirstColumn="0" w:lastRowLastColumn="0"/>
              <w:rPr>
                <w:sz w:val="22"/>
              </w:rPr>
            </w:pPr>
            <w:r w:rsidRPr="00A332A9">
              <w:rPr>
                <w:sz w:val="22"/>
              </w:rPr>
              <w:t xml:space="preserve">Total </w:t>
            </w:r>
          </w:p>
        </w:tc>
      </w:tr>
      <w:tr w:rsidR="0016451E" w14:paraId="5A04A4D4" w14:textId="1DF25CF0" w:rsidTr="00A332A9">
        <w:tc>
          <w:tcPr>
            <w:cnfStyle w:val="001000000000" w:firstRow="0" w:lastRow="0" w:firstColumn="1" w:lastColumn="0" w:oddVBand="0" w:evenVBand="0" w:oddHBand="0" w:evenHBand="0" w:firstRowFirstColumn="0" w:firstRowLastColumn="0" w:lastRowFirstColumn="0" w:lastRowLastColumn="0"/>
            <w:tcW w:w="3114" w:type="dxa"/>
          </w:tcPr>
          <w:p w14:paraId="040520F0" w14:textId="3223A700" w:rsidR="0016451E" w:rsidRPr="00A332A9" w:rsidRDefault="0016451E" w:rsidP="0016451E">
            <w:pPr>
              <w:spacing w:after="0"/>
              <w:rPr>
                <w:sz w:val="22"/>
              </w:rPr>
            </w:pPr>
            <w:r w:rsidRPr="00A332A9">
              <w:rPr>
                <w:sz w:val="22"/>
              </w:rPr>
              <w:t xml:space="preserve">Scenario A – funding 133 places a year </w:t>
            </w:r>
          </w:p>
        </w:tc>
        <w:tc>
          <w:tcPr>
            <w:tcW w:w="1984" w:type="dxa"/>
            <w:vAlign w:val="bottom"/>
          </w:tcPr>
          <w:p w14:paraId="53CD4920" w14:textId="17950FEF"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£1,086,510</w:t>
            </w:r>
          </w:p>
        </w:tc>
        <w:tc>
          <w:tcPr>
            <w:tcW w:w="1843" w:type="dxa"/>
            <w:vAlign w:val="bottom"/>
          </w:tcPr>
          <w:p w14:paraId="057B4016" w14:textId="5FDC693D"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£1,086,510</w:t>
            </w:r>
          </w:p>
        </w:tc>
        <w:tc>
          <w:tcPr>
            <w:tcW w:w="1843" w:type="dxa"/>
            <w:vAlign w:val="bottom"/>
          </w:tcPr>
          <w:p w14:paraId="6456338D" w14:textId="11B944A0"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£1,086,510</w:t>
            </w:r>
          </w:p>
        </w:tc>
        <w:tc>
          <w:tcPr>
            <w:tcW w:w="1673" w:type="dxa"/>
            <w:vAlign w:val="bottom"/>
          </w:tcPr>
          <w:p w14:paraId="75E430F6" w14:textId="55DDAD7B"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£3,259,530</w:t>
            </w:r>
          </w:p>
        </w:tc>
      </w:tr>
      <w:tr w:rsidR="0016451E" w14:paraId="218BCC4C" w14:textId="4E373C09" w:rsidTr="00A332A9">
        <w:tc>
          <w:tcPr>
            <w:cnfStyle w:val="001000000000" w:firstRow="0" w:lastRow="0" w:firstColumn="1" w:lastColumn="0" w:oddVBand="0" w:evenVBand="0" w:oddHBand="0" w:evenHBand="0" w:firstRowFirstColumn="0" w:firstRowLastColumn="0" w:lastRowFirstColumn="0" w:lastRowLastColumn="0"/>
            <w:tcW w:w="3114" w:type="dxa"/>
          </w:tcPr>
          <w:p w14:paraId="7F343579" w14:textId="1868C2F6" w:rsidR="0016451E" w:rsidRPr="00A332A9" w:rsidRDefault="0016451E" w:rsidP="0016451E">
            <w:pPr>
              <w:spacing w:after="0"/>
              <w:rPr>
                <w:sz w:val="22"/>
              </w:rPr>
            </w:pPr>
            <w:r w:rsidRPr="00A332A9">
              <w:rPr>
                <w:sz w:val="22"/>
              </w:rPr>
              <w:t>Scenario B – funding 152 places a year</w:t>
            </w:r>
          </w:p>
        </w:tc>
        <w:tc>
          <w:tcPr>
            <w:tcW w:w="1984" w:type="dxa"/>
            <w:vAlign w:val="bottom"/>
          </w:tcPr>
          <w:p w14:paraId="10F468B5" w14:textId="4C90F115"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£1,241,726</w:t>
            </w:r>
          </w:p>
        </w:tc>
        <w:tc>
          <w:tcPr>
            <w:tcW w:w="1843" w:type="dxa"/>
            <w:vAlign w:val="bottom"/>
          </w:tcPr>
          <w:p w14:paraId="0B61A413" w14:textId="25BE318A"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£1,241,726</w:t>
            </w:r>
          </w:p>
        </w:tc>
        <w:tc>
          <w:tcPr>
            <w:tcW w:w="1843" w:type="dxa"/>
            <w:vAlign w:val="bottom"/>
          </w:tcPr>
          <w:p w14:paraId="3BE028D8" w14:textId="41052293"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£1,241,726</w:t>
            </w:r>
          </w:p>
        </w:tc>
        <w:tc>
          <w:tcPr>
            <w:tcW w:w="1673" w:type="dxa"/>
            <w:vAlign w:val="bottom"/>
          </w:tcPr>
          <w:p w14:paraId="38070A0D" w14:textId="5B43746F" w:rsidR="0016451E" w:rsidRPr="00A332A9" w:rsidRDefault="0016451E" w:rsidP="0016451E">
            <w:pPr>
              <w:spacing w:after="0"/>
              <w:cnfStyle w:val="000000000000" w:firstRow="0" w:lastRow="0" w:firstColumn="0" w:lastColumn="0" w:oddVBand="0" w:evenVBand="0" w:oddHBand="0" w:evenHBand="0" w:firstRowFirstColumn="0" w:firstRowLastColumn="0" w:lastRowFirstColumn="0" w:lastRowLastColumn="0"/>
              <w:rPr>
                <w:sz w:val="22"/>
              </w:rPr>
            </w:pPr>
            <w:r w:rsidRPr="00A332A9">
              <w:rPr>
                <w:rFonts w:ascii="Calibri" w:hAnsi="Calibri"/>
                <w:color w:val="000000"/>
                <w:sz w:val="22"/>
              </w:rPr>
              <w:t>£3,725,177</w:t>
            </w:r>
          </w:p>
        </w:tc>
      </w:tr>
    </w:tbl>
    <w:p w14:paraId="3CE2FF87" w14:textId="77777777" w:rsidR="00C30CDF" w:rsidRDefault="00C30CDF" w:rsidP="00F761C7">
      <w:pPr>
        <w:spacing w:after="0"/>
      </w:pPr>
    </w:p>
    <w:p w14:paraId="64CED217" w14:textId="30D4D492" w:rsidR="0016451E" w:rsidRPr="0016451E" w:rsidRDefault="0016451E" w:rsidP="00F761C7">
      <w:pPr>
        <w:spacing w:after="0"/>
        <w:rPr>
          <w:b/>
        </w:rPr>
      </w:pPr>
      <w:r>
        <w:lastRenderedPageBreak/>
        <w:t xml:space="preserve">Settling midway between the two scenarios, the total costs of a bursary over a 3 year period would be </w:t>
      </w:r>
      <w:r w:rsidRPr="0016451E">
        <w:rPr>
          <w:b/>
        </w:rPr>
        <w:t xml:space="preserve">£3.5 million. </w:t>
      </w:r>
    </w:p>
    <w:p w14:paraId="7EE3F88B" w14:textId="77777777" w:rsidR="00C30CDF" w:rsidRDefault="00C30CDF" w:rsidP="00F761C7">
      <w:pPr>
        <w:spacing w:after="0"/>
      </w:pPr>
    </w:p>
    <w:p w14:paraId="12AFBA54" w14:textId="77777777" w:rsidR="00986C2D" w:rsidRDefault="00986C2D" w:rsidP="00F761C7">
      <w:pPr>
        <w:spacing w:after="0"/>
        <w:rPr>
          <w:i/>
        </w:rPr>
      </w:pPr>
      <w:r>
        <w:rPr>
          <w:i/>
        </w:rPr>
        <w:t xml:space="preserve">How the bursary could be issued </w:t>
      </w:r>
    </w:p>
    <w:p w14:paraId="7A8BDED6" w14:textId="77777777" w:rsidR="00986C2D" w:rsidRDefault="00986C2D" w:rsidP="00F761C7">
      <w:pPr>
        <w:spacing w:after="0"/>
        <w:rPr>
          <w:i/>
        </w:rPr>
      </w:pPr>
    </w:p>
    <w:p w14:paraId="19C283FB" w14:textId="7054C98B" w:rsidR="008B1DC2" w:rsidRDefault="008B1DC2" w:rsidP="008B1DC2">
      <w:pPr>
        <w:spacing w:after="0"/>
      </w:pPr>
      <w:r>
        <w:t>We propose that the fund run for at least three years, with decisions on any further expansion taken in 2021, following a rev</w:t>
      </w:r>
      <w:r w:rsidR="00A234FC">
        <w:t xml:space="preserve">iew of how the fund has worked </w:t>
      </w:r>
      <w:r>
        <w:t xml:space="preserve">and the impact it has had. By this time, it is possible that the funding costs can be recovered through the apprenticeships fund (see later). </w:t>
      </w:r>
    </w:p>
    <w:p w14:paraId="21E643C4" w14:textId="77777777" w:rsidR="008B1DC2" w:rsidRDefault="008B1DC2" w:rsidP="00F761C7">
      <w:pPr>
        <w:spacing w:after="0"/>
      </w:pPr>
    </w:p>
    <w:p w14:paraId="62F0AC07" w14:textId="77777777" w:rsidR="00986C2D" w:rsidRDefault="00986C2D" w:rsidP="00F761C7">
      <w:pPr>
        <w:spacing w:after="0"/>
      </w:pPr>
      <w:r>
        <w:t xml:space="preserve">In line with the approach taken for the Educational Psychology Funded Training Scheme, we would suggest eligibility criteria along the following lines:  </w:t>
      </w:r>
    </w:p>
    <w:p w14:paraId="46048526" w14:textId="77777777" w:rsidR="00986C2D" w:rsidRDefault="00986C2D" w:rsidP="00F761C7">
      <w:pPr>
        <w:spacing w:after="0"/>
      </w:pPr>
    </w:p>
    <w:p w14:paraId="3674DF44" w14:textId="77777777" w:rsidR="00986C2D" w:rsidRDefault="00986C2D" w:rsidP="00986C2D">
      <w:pPr>
        <w:pStyle w:val="ListParagraph"/>
        <w:numPr>
          <w:ilvl w:val="0"/>
          <w:numId w:val="29"/>
        </w:numPr>
        <w:spacing w:after="0"/>
      </w:pPr>
      <w:r>
        <w:t xml:space="preserve">have already qualified as teachers </w:t>
      </w:r>
    </w:p>
    <w:p w14:paraId="3CA61316" w14:textId="5528D7CE" w:rsidR="00986C2D" w:rsidRDefault="00986C2D" w:rsidP="00986C2D">
      <w:pPr>
        <w:pStyle w:val="ListParagraph"/>
        <w:numPr>
          <w:ilvl w:val="0"/>
          <w:numId w:val="29"/>
        </w:numPr>
        <w:spacing w:after="0"/>
      </w:pPr>
      <w:r>
        <w:t xml:space="preserve">have at least one year’s experience of working as a teacher </w:t>
      </w:r>
    </w:p>
    <w:p w14:paraId="4A371599" w14:textId="77777777" w:rsidR="00986C2D" w:rsidRDefault="00986C2D" w:rsidP="00986C2D">
      <w:pPr>
        <w:pStyle w:val="ListParagraph"/>
        <w:numPr>
          <w:ilvl w:val="0"/>
          <w:numId w:val="29"/>
        </w:numPr>
        <w:spacing w:after="0"/>
      </w:pPr>
      <w:r>
        <w:t xml:space="preserve">can provide two references </w:t>
      </w:r>
    </w:p>
    <w:p w14:paraId="3E4469EC" w14:textId="77777777" w:rsidR="00986C2D" w:rsidRDefault="00986C2D" w:rsidP="00986C2D">
      <w:pPr>
        <w:pStyle w:val="ListParagraph"/>
        <w:numPr>
          <w:ilvl w:val="0"/>
          <w:numId w:val="29"/>
        </w:numPr>
        <w:spacing w:after="0"/>
      </w:pPr>
      <w:r>
        <w:t xml:space="preserve">are resident in England </w:t>
      </w:r>
    </w:p>
    <w:p w14:paraId="61A04651" w14:textId="77777777" w:rsidR="00986C2D" w:rsidRDefault="00986C2D" w:rsidP="00986C2D">
      <w:pPr>
        <w:pStyle w:val="ListParagraph"/>
        <w:numPr>
          <w:ilvl w:val="0"/>
          <w:numId w:val="29"/>
        </w:numPr>
        <w:spacing w:after="0"/>
      </w:pPr>
      <w:r>
        <w:t xml:space="preserve">have been accepted at one of the four training providers in England </w:t>
      </w:r>
    </w:p>
    <w:p w14:paraId="5CB68B7C" w14:textId="405C244F" w:rsidR="00986C2D" w:rsidRDefault="00986C2D" w:rsidP="00986C2D">
      <w:pPr>
        <w:pStyle w:val="ListParagraph"/>
        <w:numPr>
          <w:ilvl w:val="0"/>
          <w:numId w:val="29"/>
        </w:numPr>
        <w:spacing w:after="0"/>
      </w:pPr>
      <w:proofErr w:type="gramStart"/>
      <w:r>
        <w:t>will</w:t>
      </w:r>
      <w:proofErr w:type="gramEnd"/>
      <w:r>
        <w:t xml:space="preserve"> commit to working as a Teacher of the Deaf for two years post-qualification or to repaying part of the training costs</w:t>
      </w:r>
      <w:r w:rsidR="00A234FC">
        <w:t xml:space="preserve"> if they leave within two years. </w:t>
      </w:r>
    </w:p>
    <w:p w14:paraId="6211E9C3" w14:textId="77777777" w:rsidR="00986C2D" w:rsidRDefault="00986C2D" w:rsidP="00986C2D">
      <w:pPr>
        <w:spacing w:after="0"/>
      </w:pPr>
    </w:p>
    <w:p w14:paraId="4313FDE2" w14:textId="77777777" w:rsidR="00986C2D" w:rsidRDefault="00060E17" w:rsidP="00986C2D">
      <w:pPr>
        <w:spacing w:after="0"/>
      </w:pPr>
      <w:r>
        <w:t xml:space="preserve">If agreement is in place before the end of 2018, we anticipate it should be possible to start issuing grants for courses starting in September 2019. We anticipate though that the bulk of applications would come in 2020 and 2021. </w:t>
      </w:r>
    </w:p>
    <w:p w14:paraId="6FEBA70C" w14:textId="77777777" w:rsidR="0016451E" w:rsidRDefault="0016451E" w:rsidP="00986C2D">
      <w:pPr>
        <w:spacing w:after="0"/>
      </w:pPr>
    </w:p>
    <w:p w14:paraId="3E747889" w14:textId="0099EAAE" w:rsidR="0016451E" w:rsidRDefault="0016451E" w:rsidP="00986C2D">
      <w:pPr>
        <w:spacing w:after="0"/>
      </w:pPr>
      <w:r>
        <w:t xml:space="preserve">We propose that a panel of representatives from the National Deaf Children’s Society and BATOD be set up to review applications to the bursary and approve them against the above criteria. The National Deaf Children’s Society would take the lead in reporting to and updating the Department for Education on how the bursary is being spent. </w:t>
      </w:r>
      <w:r w:rsidR="00747CD4">
        <w:t>We would cover these administrative costs through our own resources.</w:t>
      </w:r>
    </w:p>
    <w:p w14:paraId="5A556AFE" w14:textId="77777777" w:rsidR="00986C2D" w:rsidRDefault="00986C2D" w:rsidP="00986C2D">
      <w:pPr>
        <w:spacing w:after="0"/>
      </w:pPr>
    </w:p>
    <w:p w14:paraId="63414D3C" w14:textId="46CF6164" w:rsidR="00747CD4" w:rsidRDefault="00A2527E" w:rsidP="00986C2D">
      <w:pPr>
        <w:spacing w:after="0"/>
      </w:pPr>
      <w:r>
        <w:t>Working with BATOD, t</w:t>
      </w:r>
      <w:r w:rsidR="00747CD4">
        <w:t xml:space="preserve">he National Deaf Children’s Society would also meet the costs of promoting and disseminating information about the fund to prospective Teachers of the Deaf. We would look to </w:t>
      </w:r>
      <w:r w:rsidR="00A332A9">
        <w:t>the four training providers for</w:t>
      </w:r>
      <w:r w:rsidR="00747CD4">
        <w:t xml:space="preserve"> support from this. </w:t>
      </w:r>
      <w:r w:rsidR="0066212A">
        <w:t xml:space="preserve">Where possible, we would also look to link up with existing information portals for prospective mainstream teachers, including those run by the Department for Education. </w:t>
      </w:r>
    </w:p>
    <w:p w14:paraId="5B3CF427" w14:textId="77777777" w:rsidR="00747CD4" w:rsidRDefault="00747CD4" w:rsidP="00986C2D">
      <w:pPr>
        <w:spacing w:after="0"/>
      </w:pPr>
    </w:p>
    <w:p w14:paraId="0B621AA4" w14:textId="41EC3050" w:rsidR="0016451E" w:rsidRPr="008B1DC2" w:rsidRDefault="0016451E" w:rsidP="00986C2D">
      <w:pPr>
        <w:spacing w:after="0"/>
        <w:rPr>
          <w:b/>
        </w:rPr>
      </w:pPr>
      <w:r w:rsidRPr="008B1DC2">
        <w:rPr>
          <w:b/>
        </w:rPr>
        <w:t xml:space="preserve">Other points and considerations </w:t>
      </w:r>
    </w:p>
    <w:p w14:paraId="4DA4AF76" w14:textId="77777777" w:rsidR="0016451E" w:rsidRDefault="0016451E" w:rsidP="00986C2D">
      <w:pPr>
        <w:spacing w:after="0"/>
      </w:pPr>
    </w:p>
    <w:p w14:paraId="4CB7CFF6" w14:textId="3E7E5B69" w:rsidR="008B1DC2" w:rsidRPr="008B1DC2" w:rsidRDefault="008B1DC2" w:rsidP="00986C2D">
      <w:pPr>
        <w:spacing w:after="0"/>
        <w:rPr>
          <w:i/>
        </w:rPr>
      </w:pPr>
      <w:r>
        <w:rPr>
          <w:i/>
        </w:rPr>
        <w:t xml:space="preserve">Apprenticeships </w:t>
      </w:r>
    </w:p>
    <w:p w14:paraId="42B1EA82" w14:textId="77777777" w:rsidR="008B1DC2" w:rsidRDefault="008B1DC2" w:rsidP="00986C2D">
      <w:pPr>
        <w:spacing w:after="0"/>
      </w:pPr>
    </w:p>
    <w:p w14:paraId="4CAF65F1" w14:textId="461ED73E" w:rsidR="008B1DC2" w:rsidRDefault="008B1DC2" w:rsidP="00986C2D">
      <w:pPr>
        <w:spacing w:after="0"/>
      </w:pPr>
      <w:r>
        <w:t xml:space="preserve">We anticipate that the need to continue to fund the training costs of new Teachers of the Deaf will continue beyond three years. We are keen to explore whether the training costs could be recouped through the apprenticeships fund. </w:t>
      </w:r>
      <w:r w:rsidR="00A234FC">
        <w:t>We are not aware of any reason why</w:t>
      </w:r>
      <w:r>
        <w:t xml:space="preserve"> teachers cannot train to be Teachers of the</w:t>
      </w:r>
      <w:r w:rsidR="00A234FC">
        <w:t xml:space="preserve"> Deaf as level 5 apprentices</w:t>
      </w:r>
      <w:r>
        <w:t xml:space="preserve">. </w:t>
      </w:r>
    </w:p>
    <w:p w14:paraId="5ECDBD31" w14:textId="77777777" w:rsidR="008B1DC2" w:rsidRDefault="008B1DC2" w:rsidP="00986C2D">
      <w:pPr>
        <w:spacing w:after="0"/>
      </w:pPr>
    </w:p>
    <w:p w14:paraId="49912334" w14:textId="76139FCB" w:rsidR="008B1DC2" w:rsidRDefault="008B1DC2" w:rsidP="00986C2D">
      <w:pPr>
        <w:spacing w:after="0"/>
      </w:pPr>
      <w:r>
        <w:t>The main barrier to this is that the training providers would need to revamp the training framework. A body, representing services and schools, would also need to agree on the</w:t>
      </w:r>
      <w:r w:rsidR="00A332A9">
        <w:t xml:space="preserve"> standards that the Teacher of the Deaf apprentices would be working to</w:t>
      </w:r>
      <w:r>
        <w:t xml:space="preserve">. We believe that the National Sensory Impairment Partnership (NatSIP) could fulfil this role – the Department for Education may want to explicitly ask NatSIP to explore this in their current review of the mandatory qualification. </w:t>
      </w:r>
    </w:p>
    <w:p w14:paraId="7D18FA33" w14:textId="77777777" w:rsidR="008B1DC2" w:rsidRDefault="008B1DC2" w:rsidP="00986C2D">
      <w:pPr>
        <w:spacing w:after="0"/>
      </w:pPr>
    </w:p>
    <w:p w14:paraId="2F90C84E" w14:textId="33A04F7B" w:rsidR="008B1DC2" w:rsidRDefault="008B1DC2" w:rsidP="00986C2D">
      <w:pPr>
        <w:spacing w:after="0"/>
      </w:pPr>
      <w:r>
        <w:lastRenderedPageBreak/>
        <w:t xml:space="preserve">Initial discussions over this with training providers have been encouraging. However, we anticipate it will take time for the training providers to make the necessary changes. </w:t>
      </w:r>
    </w:p>
    <w:p w14:paraId="7FE6B486" w14:textId="77777777" w:rsidR="008B1DC2" w:rsidRDefault="008B1DC2" w:rsidP="00986C2D">
      <w:pPr>
        <w:spacing w:after="0"/>
      </w:pPr>
    </w:p>
    <w:p w14:paraId="426D4F41" w14:textId="16B56EE8" w:rsidR="008B1DC2" w:rsidRPr="008B1DC2" w:rsidRDefault="008B1DC2" w:rsidP="00986C2D">
      <w:pPr>
        <w:spacing w:after="0"/>
        <w:rPr>
          <w:i/>
        </w:rPr>
      </w:pPr>
      <w:r>
        <w:rPr>
          <w:i/>
        </w:rPr>
        <w:t xml:space="preserve">Sharing costs with schools/services </w:t>
      </w:r>
    </w:p>
    <w:p w14:paraId="76863BEA" w14:textId="77777777" w:rsidR="008B1DC2" w:rsidRDefault="008B1DC2" w:rsidP="00986C2D">
      <w:pPr>
        <w:spacing w:after="0"/>
      </w:pPr>
    </w:p>
    <w:p w14:paraId="3332A692" w14:textId="77777777" w:rsidR="00986C2D" w:rsidRDefault="00986C2D" w:rsidP="00F761C7">
      <w:pPr>
        <w:spacing w:after="0"/>
      </w:pPr>
      <w:r>
        <w:t xml:space="preserve">We considered whether the bursary could be run on the basis that costs be shared between the Department for Education and local authorities and/or special schools/resource provisions. We do not believe this would be an effective approach for the following reasons: </w:t>
      </w:r>
    </w:p>
    <w:p w14:paraId="392D0DF9" w14:textId="77777777" w:rsidR="00986C2D" w:rsidRDefault="00986C2D" w:rsidP="00F761C7">
      <w:pPr>
        <w:spacing w:after="0"/>
      </w:pPr>
    </w:p>
    <w:p w14:paraId="107DE89F" w14:textId="283439F8" w:rsidR="002867CB" w:rsidRDefault="002867CB" w:rsidP="002867CB">
      <w:pPr>
        <w:pStyle w:val="ListParagraph"/>
        <w:numPr>
          <w:ilvl w:val="0"/>
          <w:numId w:val="33"/>
        </w:numPr>
        <w:spacing w:after="0"/>
      </w:pPr>
      <w:r>
        <w:t xml:space="preserve">There is a national need for new Teachers of the Deaf. Given that deafness is a low incidence need, it is important that there is maximum flexibility </w:t>
      </w:r>
      <w:r w:rsidR="00C912F2">
        <w:t xml:space="preserve">in </w:t>
      </w:r>
      <w:r>
        <w:t>where they work and in what settings</w:t>
      </w:r>
      <w:r w:rsidR="00A234FC">
        <w:t>.</w:t>
      </w:r>
      <w:r>
        <w:t xml:space="preserve"> </w:t>
      </w:r>
    </w:p>
    <w:p w14:paraId="4951C319" w14:textId="76A0ADC4" w:rsidR="00986C2D" w:rsidRDefault="00986C2D" w:rsidP="002867CB">
      <w:pPr>
        <w:pStyle w:val="ListParagraph"/>
        <w:numPr>
          <w:ilvl w:val="0"/>
          <w:numId w:val="33"/>
        </w:numPr>
        <w:spacing w:after="0"/>
      </w:pPr>
      <w:r>
        <w:t>Given wider pressures on local authority budgets</w:t>
      </w:r>
      <w:r w:rsidR="002867CB">
        <w:t>, it may be a challenge for some local authorities to make this commitment</w:t>
      </w:r>
      <w:r w:rsidR="00A234FC">
        <w:t>.</w:t>
      </w:r>
      <w:r w:rsidR="002867CB">
        <w:t xml:space="preserve"> </w:t>
      </w:r>
      <w:r>
        <w:t xml:space="preserve"> </w:t>
      </w:r>
    </w:p>
    <w:p w14:paraId="60B67DC8" w14:textId="0D372DC5" w:rsidR="002867CB" w:rsidRDefault="002867CB" w:rsidP="002867CB">
      <w:pPr>
        <w:pStyle w:val="ListParagraph"/>
        <w:numPr>
          <w:ilvl w:val="0"/>
          <w:numId w:val="33"/>
        </w:numPr>
        <w:spacing w:after="0"/>
      </w:pPr>
      <w:r>
        <w:t>Our past experience suggests that local authorities, particularly smaller ones, are not always well-placed to take a long-term view on future staffing needs in this area</w:t>
      </w:r>
      <w:r w:rsidR="00A234FC">
        <w:t>.</w:t>
      </w:r>
      <w:r>
        <w:t xml:space="preserve"> </w:t>
      </w:r>
    </w:p>
    <w:p w14:paraId="496C672A" w14:textId="77777777" w:rsidR="008B1DC2" w:rsidRDefault="008B1DC2" w:rsidP="008B1DC2">
      <w:pPr>
        <w:spacing w:after="0"/>
      </w:pPr>
    </w:p>
    <w:p w14:paraId="5E48C394" w14:textId="79300D7B" w:rsidR="00A332A9" w:rsidRDefault="008B1DC2" w:rsidP="008B1DC2">
      <w:pPr>
        <w:spacing w:after="0"/>
      </w:pPr>
      <w:r>
        <w:t xml:space="preserve">We also considered whether the bursary fund should cover the training costs where local authorities or providers were already planning to cover these costs. As set out earlier, </w:t>
      </w:r>
      <w:r w:rsidR="00747CD4">
        <w:t xml:space="preserve">around 100 teachers are already training to be Teachers of the Deaf and most of these will be funded by the local authority/provider. Initially, we proposed that we would only take applications from individuals or from small services where an argument was convincingly made that they could not cover </w:t>
      </w:r>
      <w:r w:rsidR="00A332A9">
        <w:t xml:space="preserve">the training costs themselves. </w:t>
      </w:r>
      <w:r w:rsidR="00747CD4">
        <w:t>Ultimately, however, we concluded that it would be very difficult to distinguish between ‘deserving’ and ‘undeser</w:t>
      </w:r>
      <w:r w:rsidR="00A234FC">
        <w:t>ving’ candidates in this way, and</w:t>
      </w:r>
      <w:r w:rsidR="00747CD4">
        <w:t xml:space="preserve"> that some services/providers may try to work around any such criteria. </w:t>
      </w:r>
    </w:p>
    <w:p w14:paraId="6A805E1E" w14:textId="77777777" w:rsidR="00A332A9" w:rsidRDefault="00A332A9" w:rsidP="008B1DC2">
      <w:pPr>
        <w:spacing w:after="0"/>
      </w:pPr>
    </w:p>
    <w:p w14:paraId="28EB1DD8" w14:textId="296FCCB8" w:rsidR="00747CD4" w:rsidRDefault="00747CD4" w:rsidP="008B1DC2">
      <w:pPr>
        <w:spacing w:after="0"/>
      </w:pPr>
      <w:r>
        <w:t>We are also aware of the wider spending pressures that services are subject to</w:t>
      </w:r>
      <w:r w:rsidR="00A332A9">
        <w:t xml:space="preserve"> and that even large services and schools are struggling to cover the training costs of new Teachers of the Deaf</w:t>
      </w:r>
      <w:r>
        <w:t>. On this basis, we propose that the fund seek</w:t>
      </w:r>
      <w:r w:rsidR="00C912F2">
        <w:t>s</w:t>
      </w:r>
      <w:r>
        <w:t xml:space="preserve"> to cover the prospective costs of training new Teachers of the Deaf over the next three years. </w:t>
      </w:r>
    </w:p>
    <w:p w14:paraId="44BE3678" w14:textId="77777777" w:rsidR="00747CD4" w:rsidRDefault="00747CD4" w:rsidP="008B1DC2">
      <w:pPr>
        <w:spacing w:after="0"/>
      </w:pPr>
    </w:p>
    <w:p w14:paraId="503C77A1" w14:textId="197DD17B" w:rsidR="00747CD4" w:rsidRPr="00747CD4" w:rsidRDefault="00747CD4" w:rsidP="008B1DC2">
      <w:pPr>
        <w:spacing w:after="0"/>
        <w:rPr>
          <w:i/>
        </w:rPr>
      </w:pPr>
      <w:r>
        <w:rPr>
          <w:i/>
        </w:rPr>
        <w:t xml:space="preserve">Existing review of the mandatory qualification </w:t>
      </w:r>
    </w:p>
    <w:p w14:paraId="72D7C0B8" w14:textId="77777777" w:rsidR="00E4460B" w:rsidRDefault="00E4460B" w:rsidP="00F761C7">
      <w:pPr>
        <w:spacing w:after="0"/>
        <w:rPr>
          <w:i/>
        </w:rPr>
      </w:pPr>
    </w:p>
    <w:p w14:paraId="1AD60371" w14:textId="77777777" w:rsidR="00747CD4" w:rsidRDefault="00747CD4" w:rsidP="00747CD4">
      <w:pPr>
        <w:spacing w:after="0"/>
      </w:pPr>
      <w:r>
        <w:t xml:space="preserve">The Department for Education has already asked NatSIP to carry out a review of the content of the mandatory qualification. However, our understanding is that it is unlikely that any major changes will be made to the actual content of the course until 2020. We feel that waiting until the review is complete risks leaving it too late to address the emerging shortfall in numbers of Teachers of the Deaf. </w:t>
      </w:r>
    </w:p>
    <w:p w14:paraId="1F4ED63A" w14:textId="77777777" w:rsidR="00747CD4" w:rsidRDefault="00747CD4" w:rsidP="00747CD4">
      <w:pPr>
        <w:spacing w:after="0"/>
      </w:pPr>
    </w:p>
    <w:p w14:paraId="2E7D302F" w14:textId="211950E6" w:rsidR="00747CD4" w:rsidRDefault="00747CD4" w:rsidP="00747CD4">
      <w:pPr>
        <w:spacing w:after="0"/>
      </w:pPr>
      <w:r>
        <w:t xml:space="preserve">As set out earlier, we recommend that NatSIP be specifically tasked with looking at whether the qualification could be taught as an apprenticeship to help support the future sustainability of this qualification. This would require some work for the sector to develop a set of standards for apprentice Teachers of the Deaf. It would also require buy-in from the training providers. </w:t>
      </w:r>
    </w:p>
    <w:p w14:paraId="6491A09A" w14:textId="77777777" w:rsidR="00C30CDF" w:rsidRDefault="00C30CDF" w:rsidP="00F761C7">
      <w:pPr>
        <w:spacing w:after="0"/>
        <w:rPr>
          <w:i/>
        </w:rPr>
      </w:pPr>
    </w:p>
    <w:sectPr w:rsidR="00C30CDF" w:rsidSect="006F2385">
      <w:headerReference w:type="default" r:id="rId9"/>
      <w:footerReference w:type="default" r:id="rId10"/>
      <w:headerReference w:type="first" r:id="rId11"/>
      <w:pgSz w:w="11907" w:h="16840" w:code="9"/>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567F" w14:textId="77777777" w:rsidR="003B3B9C" w:rsidRDefault="003B3B9C">
      <w:r>
        <w:separator/>
      </w:r>
    </w:p>
  </w:endnote>
  <w:endnote w:type="continuationSeparator" w:id="0">
    <w:p w14:paraId="34915171" w14:textId="77777777" w:rsidR="003B3B9C" w:rsidRDefault="003B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99189"/>
      <w:docPartObj>
        <w:docPartGallery w:val="Page Numbers (Bottom of Page)"/>
        <w:docPartUnique/>
      </w:docPartObj>
    </w:sdtPr>
    <w:sdtEndPr>
      <w:rPr>
        <w:noProof/>
      </w:rPr>
    </w:sdtEndPr>
    <w:sdtContent>
      <w:p w14:paraId="520649BA" w14:textId="2DD78403" w:rsidR="007625A5" w:rsidRDefault="007625A5" w:rsidP="007625A5">
        <w:pPr>
          <w:pStyle w:val="Footer"/>
          <w:jc w:val="right"/>
        </w:pPr>
        <w:r>
          <w:fldChar w:fldCharType="begin"/>
        </w:r>
        <w:r>
          <w:instrText xml:space="preserve"> PAGE   \* MERGEFORMAT </w:instrText>
        </w:r>
        <w:r>
          <w:fldChar w:fldCharType="separate"/>
        </w:r>
        <w:r w:rsidR="00597B7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E7097" w14:textId="77777777" w:rsidR="003B3B9C" w:rsidRDefault="003B3B9C">
      <w:r>
        <w:separator/>
      </w:r>
    </w:p>
  </w:footnote>
  <w:footnote w:type="continuationSeparator" w:id="0">
    <w:p w14:paraId="1A911B7F" w14:textId="77777777" w:rsidR="003B3B9C" w:rsidRDefault="003B3B9C">
      <w:r>
        <w:continuationSeparator/>
      </w:r>
    </w:p>
  </w:footnote>
  <w:footnote w:id="1">
    <w:p w14:paraId="1B507772" w14:textId="77777777" w:rsidR="00B96030" w:rsidRPr="00B96030" w:rsidRDefault="00B96030" w:rsidP="006F2385">
      <w:pPr>
        <w:pStyle w:val="FootnoteText"/>
        <w:spacing w:after="0"/>
        <w:rPr>
          <w:rFonts w:ascii="Calibri" w:hAnsi="Calibri"/>
        </w:rPr>
      </w:pPr>
      <w:r>
        <w:rPr>
          <w:rStyle w:val="FootnoteReference"/>
        </w:rPr>
        <w:footnoteRef/>
      </w:r>
      <w:r>
        <w:t xml:space="preserve"> Carroll, J. et al (2017) SEN support: A rapid evidence assessment. Department for Education. </w:t>
      </w:r>
      <w:hyperlink r:id="rId1" w:history="1">
        <w:r>
          <w:rPr>
            <w:rStyle w:val="Hyperlink"/>
          </w:rPr>
          <w:t>www.gov.uk/government/publications/special-educational-needs-support-in-schools-and-colleges</w:t>
        </w:r>
      </w:hyperlink>
      <w:r>
        <w:t xml:space="preserve">. </w:t>
      </w:r>
    </w:p>
  </w:footnote>
  <w:footnote w:id="2">
    <w:p w14:paraId="79030563" w14:textId="77777777" w:rsidR="00F508A2" w:rsidRPr="00100ACF" w:rsidRDefault="00F508A2" w:rsidP="006F2385">
      <w:pPr>
        <w:pStyle w:val="FootnoteText"/>
        <w:spacing w:after="0"/>
        <w:rPr>
          <w:szCs w:val="16"/>
        </w:rPr>
      </w:pPr>
      <w:r w:rsidRPr="00100ACF">
        <w:rPr>
          <w:rStyle w:val="FootnoteReference"/>
          <w:szCs w:val="16"/>
        </w:rPr>
        <w:footnoteRef/>
      </w:r>
      <w:r w:rsidRPr="00100ACF">
        <w:rPr>
          <w:szCs w:val="16"/>
        </w:rPr>
        <w:t xml:space="preserve"> In the Ofsted Communication is the Key (2012) report, Ofsted stated when deaf children progressed well, it was because services were underpinned by a good understanding of the need for specialist services for deaf children and a strong commitment to maintain them. </w:t>
      </w:r>
      <w:hyperlink r:id="rId2" w:history="1">
        <w:r w:rsidRPr="00100ACF">
          <w:rPr>
            <w:rStyle w:val="Hyperlink"/>
            <w:szCs w:val="16"/>
          </w:rPr>
          <w:t>https://www.gov.uk/government/publications/communication-is-the-key</w:t>
        </w:r>
      </w:hyperlink>
      <w:r w:rsidRPr="00100ACF">
        <w:rPr>
          <w:rStyle w:val="Hyperlink"/>
          <w:szCs w:val="16"/>
        </w:rPr>
        <w:t xml:space="preserve"> </w:t>
      </w:r>
    </w:p>
  </w:footnote>
  <w:footnote w:id="3">
    <w:p w14:paraId="03F290EB" w14:textId="77777777" w:rsidR="00F508A2" w:rsidRPr="00100ACF" w:rsidRDefault="00F508A2" w:rsidP="006F2385">
      <w:pPr>
        <w:pStyle w:val="FootnoteText"/>
        <w:spacing w:after="0"/>
        <w:rPr>
          <w:szCs w:val="16"/>
        </w:rPr>
      </w:pPr>
      <w:r w:rsidRPr="00100ACF">
        <w:rPr>
          <w:rStyle w:val="FootnoteReference"/>
          <w:szCs w:val="16"/>
        </w:rPr>
        <w:footnoteRef/>
      </w:r>
      <w:r w:rsidRPr="00100ACF">
        <w:rPr>
          <w:szCs w:val="16"/>
        </w:rPr>
        <w:t xml:space="preserve"> A review by Marc Marschark stated that: “The learning styles and needs of deaf and hard-of-hearing students differ sufficiently from those of their hearing peers to require specialised programming and teaching methods or strategies if children are to achieve their full potential. Special assistance thus is also required for teachers.” </w:t>
      </w:r>
      <w:hyperlink r:id="rId3" w:history="1">
        <w:r w:rsidRPr="00100ACF">
          <w:rPr>
            <w:rStyle w:val="Hyperlink"/>
            <w:szCs w:val="16"/>
          </w:rPr>
          <w:t>www.</w:t>
        </w:r>
        <w:r w:rsidRPr="00100ACF">
          <w:rPr>
            <w:rStyle w:val="Hyperlink"/>
            <w:rFonts w:cs="Arial"/>
            <w:szCs w:val="16"/>
            <w:shd w:val="clear" w:color="auto" w:fill="FFFFFF"/>
          </w:rPr>
          <w:t>ncse.ie/wp-content/uploads/2014/10/1_NCSE_Deaf.pdf</w:t>
        </w:r>
      </w:hyperlink>
      <w:r w:rsidRPr="00100ACF">
        <w:rPr>
          <w:rFonts w:cs="Arial"/>
          <w:color w:val="006621"/>
          <w:szCs w:val="16"/>
          <w:shd w:val="clear" w:color="auto" w:fill="FFFFFF"/>
        </w:rPr>
        <w:t xml:space="preserve">  </w:t>
      </w:r>
    </w:p>
  </w:footnote>
  <w:footnote w:id="4">
    <w:p w14:paraId="0BAE34DB" w14:textId="77777777" w:rsidR="00FD18E4" w:rsidRDefault="00FD18E4" w:rsidP="006F2385">
      <w:pPr>
        <w:pStyle w:val="FootnoteText"/>
        <w:spacing w:after="0"/>
      </w:pPr>
      <w:r>
        <w:rPr>
          <w:rStyle w:val="FootnoteReference"/>
        </w:rPr>
        <w:footnoteRef/>
      </w:r>
      <w:r>
        <w:t xml:space="preserve"> The qualification can also be acquired at the University of Edinburgh. There are no training providers in Wales or Northern Ireland. </w:t>
      </w:r>
    </w:p>
  </w:footnote>
  <w:footnote w:id="5">
    <w:p w14:paraId="2E873F5E" w14:textId="4B822041" w:rsidR="006F2385" w:rsidRDefault="006F2385" w:rsidP="006F2385">
      <w:pPr>
        <w:pStyle w:val="FootnoteText"/>
        <w:spacing w:after="0"/>
      </w:pPr>
      <w:r>
        <w:rPr>
          <w:rStyle w:val="FootnoteReference"/>
        </w:rPr>
        <w:footnoteRef/>
      </w:r>
      <w:r>
        <w:t xml:space="preserve"> </w:t>
      </w:r>
      <w:r>
        <w:rPr>
          <w:rFonts w:ascii="Calibri" w:hAnsi="Calibri"/>
        </w:rPr>
        <w:t xml:space="preserve">Theoretical caseloads for peripatetic Teachers of the Deaf are calculated by </w:t>
      </w:r>
      <w:r w:rsidRPr="00A66462">
        <w:rPr>
          <w:rFonts w:ascii="Calibri" w:hAnsi="Calibri"/>
        </w:rPr>
        <w:t xml:space="preserve">dividing the number of </w:t>
      </w:r>
      <w:r w:rsidRPr="00A66462">
        <w:rPr>
          <w:rFonts w:ascii="Calibri" w:hAnsi="Calibri"/>
          <w:color w:val="000000"/>
        </w:rPr>
        <w:t>permanently</w:t>
      </w:r>
      <w:r w:rsidRPr="00A66462">
        <w:rPr>
          <w:rFonts w:ascii="Calibri" w:hAnsi="Calibri"/>
        </w:rPr>
        <w:t xml:space="preserve"> deaf children </w:t>
      </w:r>
      <w:r>
        <w:rPr>
          <w:rFonts w:ascii="Calibri" w:hAnsi="Calibri"/>
        </w:rPr>
        <w:t>living</w:t>
      </w:r>
      <w:r w:rsidRPr="00A66462">
        <w:rPr>
          <w:rFonts w:ascii="Calibri" w:hAnsi="Calibri"/>
        </w:rPr>
        <w:t xml:space="preserve"> in any given area and in non-specialist provision by the number of visiting Teachers of the Deaf who are qualified or in training for the mandatory qualification.</w:t>
      </w:r>
    </w:p>
  </w:footnote>
  <w:footnote w:id="6">
    <w:p w14:paraId="51F8DF00" w14:textId="377D57E7" w:rsidR="00E4460B" w:rsidRDefault="00E4460B" w:rsidP="006F2385">
      <w:pPr>
        <w:pStyle w:val="FootnoteText"/>
        <w:spacing w:after="0"/>
      </w:pPr>
      <w:r>
        <w:rPr>
          <w:rStyle w:val="FootnoteReference"/>
        </w:rPr>
        <w:footnoteRef/>
      </w:r>
      <w:r>
        <w:t xml:space="preserve"> </w:t>
      </w:r>
      <w:hyperlink r:id="rId4" w:history="1">
        <w:r w:rsidR="00A234FC" w:rsidRPr="00155D0C">
          <w:rPr>
            <w:rStyle w:val="Hyperlink"/>
          </w:rPr>
          <w:t>www.natsip.org.uk/doc-library-login/supporting-the-si-workforce/report-on-the-factors-promoting-and-inhibiting-the-successful-supply-of-specialist-teachers/1040-a-report-on-the-factors-promoting-and-inhibiting-the-successful-supply-of-specialist-teachers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30C8" w14:textId="6989D0D6" w:rsidR="007625A5" w:rsidRPr="007625A5" w:rsidRDefault="007625A5" w:rsidP="007625A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E0FA" w14:textId="6247BADB" w:rsidR="006F2385" w:rsidRDefault="006F2385" w:rsidP="006F2385">
    <w:pPr>
      <w:pStyle w:val="Header"/>
      <w:jc w:val="center"/>
    </w:pPr>
    <w:r w:rsidRPr="007625A5">
      <w:rPr>
        <w:b/>
        <w:noProof/>
      </w:rPr>
      <w:drawing>
        <wp:inline distT="0" distB="0" distL="0" distR="0" wp14:anchorId="10131956" wp14:editId="47BFB7A2">
          <wp:extent cx="1260000" cy="1260000"/>
          <wp:effectExtent l="0" t="0" r="0" b="0"/>
          <wp:docPr id="7" name="Picture 7" descr="Image result for ba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t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3F04CA">
      <w:rPr>
        <w:noProof/>
      </w:rPr>
      <w:drawing>
        <wp:inline distT="0" distB="0" distL="0" distR="0" wp14:anchorId="74D85034" wp14:editId="2989DA45">
          <wp:extent cx="1492250" cy="1233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123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E655CE"/>
    <w:multiLevelType w:val="hybridMultilevel"/>
    <w:tmpl w:val="FDA0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CC2A31"/>
    <w:multiLevelType w:val="hybridMultilevel"/>
    <w:tmpl w:val="94E21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F07E1"/>
    <w:multiLevelType w:val="hybridMultilevel"/>
    <w:tmpl w:val="15D2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05211"/>
    <w:multiLevelType w:val="hybridMultilevel"/>
    <w:tmpl w:val="3592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67E91"/>
    <w:multiLevelType w:val="multilevel"/>
    <w:tmpl w:val="BFE64B02"/>
    <w:numStyleLink w:val="NDCSHeadingsandNumbers"/>
  </w:abstractNum>
  <w:abstractNum w:abstractNumId="22" w15:restartNumberingAfterBreak="0">
    <w:nsid w:val="59B94A1D"/>
    <w:multiLevelType w:val="hybridMultilevel"/>
    <w:tmpl w:val="07106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E44E1C"/>
    <w:multiLevelType w:val="multilevel"/>
    <w:tmpl w:val="C2385ED0"/>
    <w:numStyleLink w:val="NDCSAppendixHeadings"/>
  </w:abstractNum>
  <w:abstractNum w:abstractNumId="25" w15:restartNumberingAfterBreak="0">
    <w:nsid w:val="65AD57D0"/>
    <w:multiLevelType w:val="multilevel"/>
    <w:tmpl w:val="BFE64B02"/>
    <w:numStyleLink w:val="NDCSHeadingsandNumbers"/>
  </w:abstractNum>
  <w:abstractNum w:abstractNumId="26" w15:restartNumberingAfterBreak="0">
    <w:nsid w:val="6B9A504E"/>
    <w:multiLevelType w:val="multilevel"/>
    <w:tmpl w:val="BFE64B02"/>
    <w:numStyleLink w:val="NDCSHeadingsandNumbers"/>
  </w:abstractNum>
  <w:abstractNum w:abstractNumId="27" w15:restartNumberingAfterBreak="0">
    <w:nsid w:val="70C21D1E"/>
    <w:multiLevelType w:val="multilevel"/>
    <w:tmpl w:val="7354CCA8"/>
    <w:numStyleLink w:val="NDCSBullets"/>
  </w:abstractNum>
  <w:abstractNum w:abstractNumId="28"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C55D04"/>
    <w:multiLevelType w:val="hybridMultilevel"/>
    <w:tmpl w:val="5BB2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8"/>
  </w:num>
  <w:num w:numId="14">
    <w:abstractNumId w:val="8"/>
    <w:lvlOverride w:ilvl="0">
      <w:startOverride w:val="1"/>
    </w:lvlOverride>
  </w:num>
  <w:num w:numId="15">
    <w:abstractNumId w:val="13"/>
  </w:num>
  <w:num w:numId="16">
    <w:abstractNumId w:val="25"/>
  </w:num>
  <w:num w:numId="17">
    <w:abstractNumId w:val="21"/>
  </w:num>
  <w:num w:numId="18">
    <w:abstractNumId w:val="26"/>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4"/>
  </w:num>
  <w:num w:numId="24">
    <w:abstractNumId w:val="28"/>
  </w:num>
  <w:num w:numId="25">
    <w:abstractNumId w:val="17"/>
  </w:num>
  <w:num w:numId="26">
    <w:abstractNumId w:val="16"/>
  </w:num>
  <w:num w:numId="27">
    <w:abstractNumId w:val="11"/>
  </w:num>
  <w:num w:numId="28">
    <w:abstractNumId w:val="27"/>
  </w:num>
  <w:num w:numId="29">
    <w:abstractNumId w:val="20"/>
  </w:num>
  <w:num w:numId="30">
    <w:abstractNumId w:val="15"/>
  </w:num>
  <w:num w:numId="31">
    <w:abstractNumId w:val="19"/>
  </w:num>
  <w:num w:numId="32">
    <w:abstractNumId w:val="22"/>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10241">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97"/>
    <w:rsid w:val="00017665"/>
    <w:rsid w:val="00044CD3"/>
    <w:rsid w:val="00060E17"/>
    <w:rsid w:val="000B1D0B"/>
    <w:rsid w:val="000E62D2"/>
    <w:rsid w:val="00144E41"/>
    <w:rsid w:val="0016451E"/>
    <w:rsid w:val="00174207"/>
    <w:rsid w:val="00195CA8"/>
    <w:rsid w:val="00200097"/>
    <w:rsid w:val="002265E4"/>
    <w:rsid w:val="00227A13"/>
    <w:rsid w:val="00231AA1"/>
    <w:rsid w:val="00256881"/>
    <w:rsid w:val="00267A44"/>
    <w:rsid w:val="002704E4"/>
    <w:rsid w:val="002867CB"/>
    <w:rsid w:val="002F203F"/>
    <w:rsid w:val="003B3B9C"/>
    <w:rsid w:val="003D1D35"/>
    <w:rsid w:val="003E4D1E"/>
    <w:rsid w:val="003E60A8"/>
    <w:rsid w:val="003F249C"/>
    <w:rsid w:val="0041003F"/>
    <w:rsid w:val="004374E5"/>
    <w:rsid w:val="00442FD3"/>
    <w:rsid w:val="00483EB6"/>
    <w:rsid w:val="00490730"/>
    <w:rsid w:val="00494160"/>
    <w:rsid w:val="004B550F"/>
    <w:rsid w:val="004D7434"/>
    <w:rsid w:val="004E1F16"/>
    <w:rsid w:val="005479FE"/>
    <w:rsid w:val="005717C4"/>
    <w:rsid w:val="0058169E"/>
    <w:rsid w:val="00597B7A"/>
    <w:rsid w:val="005F6EE9"/>
    <w:rsid w:val="006154C0"/>
    <w:rsid w:val="00654EEB"/>
    <w:rsid w:val="0066212A"/>
    <w:rsid w:val="00681653"/>
    <w:rsid w:val="00682A63"/>
    <w:rsid w:val="006C43A5"/>
    <w:rsid w:val="006F2385"/>
    <w:rsid w:val="0070589A"/>
    <w:rsid w:val="00716ACB"/>
    <w:rsid w:val="00724A82"/>
    <w:rsid w:val="00737FB5"/>
    <w:rsid w:val="00747CD4"/>
    <w:rsid w:val="00753ADD"/>
    <w:rsid w:val="007625A5"/>
    <w:rsid w:val="007A30C6"/>
    <w:rsid w:val="007B5FF8"/>
    <w:rsid w:val="008512C5"/>
    <w:rsid w:val="008B1DC2"/>
    <w:rsid w:val="008F5E40"/>
    <w:rsid w:val="00904ACE"/>
    <w:rsid w:val="009312EE"/>
    <w:rsid w:val="00931BD2"/>
    <w:rsid w:val="00935AE4"/>
    <w:rsid w:val="009711A4"/>
    <w:rsid w:val="00986C2D"/>
    <w:rsid w:val="009E0DBB"/>
    <w:rsid w:val="00A06085"/>
    <w:rsid w:val="00A234FC"/>
    <w:rsid w:val="00A2527E"/>
    <w:rsid w:val="00A332A9"/>
    <w:rsid w:val="00A5016D"/>
    <w:rsid w:val="00AA7F4B"/>
    <w:rsid w:val="00AC4F70"/>
    <w:rsid w:val="00AC59E6"/>
    <w:rsid w:val="00AD4035"/>
    <w:rsid w:val="00AF57E4"/>
    <w:rsid w:val="00AF5ED4"/>
    <w:rsid w:val="00B96030"/>
    <w:rsid w:val="00BA6A7D"/>
    <w:rsid w:val="00BB7B69"/>
    <w:rsid w:val="00BE2223"/>
    <w:rsid w:val="00C0012D"/>
    <w:rsid w:val="00C30CDF"/>
    <w:rsid w:val="00C36D6B"/>
    <w:rsid w:val="00C912F2"/>
    <w:rsid w:val="00C932C0"/>
    <w:rsid w:val="00CB03C8"/>
    <w:rsid w:val="00CC6876"/>
    <w:rsid w:val="00CD46B6"/>
    <w:rsid w:val="00CF61BE"/>
    <w:rsid w:val="00D13B0A"/>
    <w:rsid w:val="00D168B2"/>
    <w:rsid w:val="00D4193D"/>
    <w:rsid w:val="00D76587"/>
    <w:rsid w:val="00D95EB9"/>
    <w:rsid w:val="00DB4B63"/>
    <w:rsid w:val="00DE49F4"/>
    <w:rsid w:val="00E40C99"/>
    <w:rsid w:val="00E4460B"/>
    <w:rsid w:val="00E56E7C"/>
    <w:rsid w:val="00EA6734"/>
    <w:rsid w:val="00EA7E4A"/>
    <w:rsid w:val="00EB781D"/>
    <w:rsid w:val="00F11C4E"/>
    <w:rsid w:val="00F508A2"/>
    <w:rsid w:val="00F761C7"/>
    <w:rsid w:val="00FB6E62"/>
    <w:rsid w:val="00FC6344"/>
    <w:rsid w:val="00FD18E4"/>
    <w:rsid w:val="00FE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573a9"/>
    </o:shapedefaults>
    <o:shapelayout v:ext="edit">
      <o:idmap v:ext="edit" data="1"/>
    </o:shapelayout>
  </w:shapeDefaults>
  <w:decimalSymbol w:val="."/>
  <w:listSeparator w:val=","/>
  <w14:docId w14:val="10080BD1"/>
  <w15:chartTrackingRefBased/>
  <w15:docId w15:val="{9961A5F3-0499-409B-8055-C704F7A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link w:val="HeaderChar"/>
    <w:uiPriority w:val="99"/>
    <w:rsid w:val="002F203F"/>
    <w:pPr>
      <w:tabs>
        <w:tab w:val="center" w:pos="4536"/>
        <w:tab w:val="right" w:pos="9072"/>
      </w:tabs>
      <w:spacing w:after="0"/>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link w:val="FootnoteTextChar"/>
    <w:rsid w:val="00BE2223"/>
    <w:rPr>
      <w:sz w:val="16"/>
      <w:szCs w:val="20"/>
    </w:rPr>
  </w:style>
  <w:style w:type="paragraph" w:styleId="Footer">
    <w:name w:val="footer"/>
    <w:basedOn w:val="Normal"/>
    <w:link w:val="FooterChar"/>
    <w:uiPriority w:val="99"/>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uiPriority w:val="99"/>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aliases w:val="Bullet list"/>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rsid w:val="005F6EE9"/>
    <w:rPr>
      <w:sz w:val="20"/>
    </w:rPr>
  </w:style>
  <w:style w:type="character" w:customStyle="1" w:styleId="FootnoteTextChar">
    <w:name w:val="Footnote Text Char"/>
    <w:link w:val="FootnoteText"/>
    <w:rsid w:val="00F508A2"/>
    <w:rPr>
      <w:sz w:val="16"/>
      <w:szCs w:val="20"/>
    </w:rPr>
  </w:style>
  <w:style w:type="character" w:customStyle="1" w:styleId="HeaderChar">
    <w:name w:val="Header Char"/>
    <w:basedOn w:val="DefaultParagraphFont"/>
    <w:link w:val="Header"/>
    <w:uiPriority w:val="99"/>
    <w:rsid w:val="007625A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773">
      <w:bodyDiv w:val="1"/>
      <w:marLeft w:val="0"/>
      <w:marRight w:val="0"/>
      <w:marTop w:val="0"/>
      <w:marBottom w:val="0"/>
      <w:divBdr>
        <w:top w:val="none" w:sz="0" w:space="0" w:color="auto"/>
        <w:left w:val="none" w:sz="0" w:space="0" w:color="auto"/>
        <w:bottom w:val="none" w:sz="0" w:space="0" w:color="auto"/>
        <w:right w:val="none" w:sz="0" w:space="0" w:color="auto"/>
      </w:divBdr>
    </w:div>
    <w:div w:id="481311295">
      <w:bodyDiv w:val="1"/>
      <w:marLeft w:val="0"/>
      <w:marRight w:val="0"/>
      <w:marTop w:val="0"/>
      <w:marBottom w:val="0"/>
      <w:divBdr>
        <w:top w:val="none" w:sz="0" w:space="0" w:color="auto"/>
        <w:left w:val="none" w:sz="0" w:space="0" w:color="auto"/>
        <w:bottom w:val="none" w:sz="0" w:space="0" w:color="auto"/>
        <w:right w:val="none" w:sz="0" w:space="0" w:color="auto"/>
      </w:divBdr>
    </w:div>
    <w:div w:id="509412094">
      <w:bodyDiv w:val="1"/>
      <w:marLeft w:val="0"/>
      <w:marRight w:val="0"/>
      <w:marTop w:val="0"/>
      <w:marBottom w:val="0"/>
      <w:divBdr>
        <w:top w:val="none" w:sz="0" w:space="0" w:color="auto"/>
        <w:left w:val="none" w:sz="0" w:space="0" w:color="auto"/>
        <w:bottom w:val="none" w:sz="0" w:space="0" w:color="auto"/>
        <w:right w:val="none" w:sz="0" w:space="0" w:color="auto"/>
      </w:divBdr>
    </w:div>
    <w:div w:id="1244757773">
      <w:bodyDiv w:val="1"/>
      <w:marLeft w:val="0"/>
      <w:marRight w:val="0"/>
      <w:marTop w:val="0"/>
      <w:marBottom w:val="0"/>
      <w:divBdr>
        <w:top w:val="none" w:sz="0" w:space="0" w:color="auto"/>
        <w:left w:val="none" w:sz="0" w:space="0" w:color="auto"/>
        <w:bottom w:val="none" w:sz="0" w:space="0" w:color="auto"/>
        <w:right w:val="none" w:sz="0" w:space="0" w:color="auto"/>
      </w:divBdr>
    </w:div>
    <w:div w:id="1396004018">
      <w:bodyDiv w:val="1"/>
      <w:marLeft w:val="0"/>
      <w:marRight w:val="0"/>
      <w:marTop w:val="0"/>
      <w:marBottom w:val="0"/>
      <w:divBdr>
        <w:top w:val="none" w:sz="0" w:space="0" w:color="auto"/>
        <w:left w:val="none" w:sz="0" w:space="0" w:color="auto"/>
        <w:bottom w:val="none" w:sz="0" w:space="0" w:color="auto"/>
        <w:right w:val="none" w:sz="0" w:space="0" w:color="auto"/>
      </w:divBdr>
    </w:div>
    <w:div w:id="20936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cse.ie/wp-content/uploads/2014/10/1_NCSE_Deaf.pdf" TargetMode="External"/><Relationship Id="rId2" Type="http://schemas.openxmlformats.org/officeDocument/2006/relationships/hyperlink" Target="https://www.gov.uk/government/publications/communication-is-the-key" TargetMode="External"/><Relationship Id="rId1" Type="http://schemas.openxmlformats.org/officeDocument/2006/relationships/hyperlink" Target="http://www.gov.uk/government/publications/special-educational-needs-support-in-schools-and-colleges" TargetMode="External"/><Relationship Id="rId4" Type="http://schemas.openxmlformats.org/officeDocument/2006/relationships/hyperlink" Target="http://www.natsip.org.uk/doc-library-login/supporting-the-si-workforce/report-on-the-factors-promoting-and-inhibiting-the-successful-supply-of-specialist-teachers/1040-a-report-on-the-factors-promoting-and-inhibiting-the-successful-supply-of-specialist-teach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Trends over time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51205726149903"/>
          <c:y val="0.13159481993968425"/>
          <c:w val="0.52496860067331674"/>
          <c:h val="0.6297022345330836"/>
        </c:manualLayout>
      </c:layout>
      <c:lineChart>
        <c:grouping val="standard"/>
        <c:varyColors val="0"/>
        <c:ser>
          <c:idx val="0"/>
          <c:order val="0"/>
          <c:tx>
            <c:strRef>
              <c:f>Sheet1!$A$2</c:f>
              <c:strCache>
                <c:ptCount val="1"/>
                <c:pt idx="0">
                  <c:v>Number of qualified Teachers of the Deaf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Sheet1!$B$1:$H$1</c:f>
              <c:strCache>
                <c:ptCount val="7"/>
                <c:pt idx="0">
                  <c:v>2010/11</c:v>
                </c:pt>
                <c:pt idx="1">
                  <c:v>2011/12</c:v>
                </c:pt>
                <c:pt idx="2">
                  <c:v>2012/13</c:v>
                </c:pt>
                <c:pt idx="3">
                  <c:v>2013/14</c:v>
                </c:pt>
                <c:pt idx="4">
                  <c:v>2014/15</c:v>
                </c:pt>
                <c:pt idx="5">
                  <c:v>2015/16</c:v>
                </c:pt>
                <c:pt idx="6">
                  <c:v>2016/17</c:v>
                </c:pt>
              </c:strCache>
            </c:strRef>
          </c:cat>
          <c:val>
            <c:numRef>
              <c:f>Sheet1!$B$2:$H$2</c:f>
              <c:numCache>
                <c:formatCode>#,##0.00</c:formatCode>
                <c:ptCount val="7"/>
                <c:pt idx="0">
                  <c:v>1062.0999999999999</c:v>
                </c:pt>
                <c:pt idx="1">
                  <c:v>1063.7</c:v>
                </c:pt>
                <c:pt idx="2">
                  <c:v>1031.9000000000001</c:v>
                </c:pt>
                <c:pt idx="3" formatCode="General">
                  <c:v>999.2</c:v>
                </c:pt>
                <c:pt idx="4" formatCode="General">
                  <c:v>995.75</c:v>
                </c:pt>
                <c:pt idx="5" formatCode="General">
                  <c:v>932.38</c:v>
                </c:pt>
                <c:pt idx="6" formatCode="General">
                  <c:v>913.75</c:v>
                </c:pt>
              </c:numCache>
            </c:numRef>
          </c:val>
          <c:smooth val="0"/>
          <c:extLst xmlns:c16r2="http://schemas.microsoft.com/office/drawing/2015/06/chart">
            <c:ext xmlns:c16="http://schemas.microsoft.com/office/drawing/2014/chart" uri="{C3380CC4-5D6E-409C-BE32-E72D297353CC}">
              <c16:uniqueId val="{00000000-1A41-408D-9FE8-A46459CAB78D}"/>
            </c:ext>
          </c:extLst>
        </c:ser>
        <c:ser>
          <c:idx val="1"/>
          <c:order val="1"/>
          <c:tx>
            <c:strRef>
              <c:f>Sheet1!$A$3</c:f>
              <c:strCache>
                <c:ptCount val="1"/>
                <c:pt idx="0">
                  <c:v>Number of Teachers of the Deaf in training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Sheet1!$B$1:$H$1</c:f>
              <c:strCache>
                <c:ptCount val="7"/>
                <c:pt idx="0">
                  <c:v>2010/11</c:v>
                </c:pt>
                <c:pt idx="1">
                  <c:v>2011/12</c:v>
                </c:pt>
                <c:pt idx="2">
                  <c:v>2012/13</c:v>
                </c:pt>
                <c:pt idx="3">
                  <c:v>2013/14</c:v>
                </c:pt>
                <c:pt idx="4">
                  <c:v>2014/15</c:v>
                </c:pt>
                <c:pt idx="5">
                  <c:v>2015/16</c:v>
                </c:pt>
                <c:pt idx="6">
                  <c:v>2016/17</c:v>
                </c:pt>
              </c:strCache>
            </c:strRef>
          </c:cat>
          <c:val>
            <c:numRef>
              <c:f>Sheet1!$B$3:$H$3</c:f>
              <c:numCache>
                <c:formatCode>General</c:formatCode>
                <c:ptCount val="7"/>
                <c:pt idx="0">
                  <c:v>91.6</c:v>
                </c:pt>
                <c:pt idx="1">
                  <c:v>74.3</c:v>
                </c:pt>
                <c:pt idx="2">
                  <c:v>78.400000000000006</c:v>
                </c:pt>
                <c:pt idx="3">
                  <c:v>72.099999999999994</c:v>
                </c:pt>
                <c:pt idx="4">
                  <c:v>123.2</c:v>
                </c:pt>
                <c:pt idx="5">
                  <c:v>114.8</c:v>
                </c:pt>
                <c:pt idx="6">
                  <c:v>123.6</c:v>
                </c:pt>
              </c:numCache>
            </c:numRef>
          </c:val>
          <c:smooth val="0"/>
          <c:extLst xmlns:c16r2="http://schemas.microsoft.com/office/drawing/2015/06/chart">
            <c:ext xmlns:c16="http://schemas.microsoft.com/office/drawing/2014/chart" uri="{C3380CC4-5D6E-409C-BE32-E72D297353CC}">
              <c16:uniqueId val="{00000001-1A41-408D-9FE8-A46459CAB78D}"/>
            </c:ext>
          </c:extLst>
        </c:ser>
        <c:ser>
          <c:idx val="2"/>
          <c:order val="2"/>
          <c:tx>
            <c:strRef>
              <c:f>Sheet1!$A$4</c:f>
              <c:strCache>
                <c:ptCount val="1"/>
                <c:pt idx="0">
                  <c:v>Total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Sheet1!$B$1:$H$1</c:f>
              <c:strCache>
                <c:ptCount val="7"/>
                <c:pt idx="0">
                  <c:v>2010/11</c:v>
                </c:pt>
                <c:pt idx="1">
                  <c:v>2011/12</c:v>
                </c:pt>
                <c:pt idx="2">
                  <c:v>2012/13</c:v>
                </c:pt>
                <c:pt idx="3">
                  <c:v>2013/14</c:v>
                </c:pt>
                <c:pt idx="4">
                  <c:v>2014/15</c:v>
                </c:pt>
                <c:pt idx="5">
                  <c:v>2015/16</c:v>
                </c:pt>
                <c:pt idx="6">
                  <c:v>2016/17</c:v>
                </c:pt>
              </c:strCache>
            </c:strRef>
          </c:cat>
          <c:val>
            <c:numRef>
              <c:f>Sheet1!$B$4:$H$4</c:f>
              <c:numCache>
                <c:formatCode>#,##0.00</c:formatCode>
                <c:ptCount val="7"/>
                <c:pt idx="0">
                  <c:v>1153.6999999999998</c:v>
                </c:pt>
                <c:pt idx="1">
                  <c:v>1138</c:v>
                </c:pt>
                <c:pt idx="2">
                  <c:v>1110.3000000000002</c:v>
                </c:pt>
                <c:pt idx="3">
                  <c:v>1071.3</c:v>
                </c:pt>
                <c:pt idx="4">
                  <c:v>1118.95</c:v>
                </c:pt>
                <c:pt idx="5">
                  <c:v>1047.18</c:v>
                </c:pt>
                <c:pt idx="6">
                  <c:v>1037.3499999999999</c:v>
                </c:pt>
              </c:numCache>
            </c:numRef>
          </c:val>
          <c:smooth val="0"/>
          <c:extLst xmlns:c16r2="http://schemas.microsoft.com/office/drawing/2015/06/chart">
            <c:ext xmlns:c16="http://schemas.microsoft.com/office/drawing/2014/chart" uri="{C3380CC4-5D6E-409C-BE32-E72D297353CC}">
              <c16:uniqueId val="{00000002-1A41-408D-9FE8-A46459CAB78D}"/>
            </c:ext>
          </c:extLst>
        </c:ser>
        <c:dLbls>
          <c:showLegendKey val="0"/>
          <c:showVal val="0"/>
          <c:showCatName val="0"/>
          <c:showSerName val="0"/>
          <c:showPercent val="0"/>
          <c:showBubbleSize val="0"/>
        </c:dLbls>
        <c:marker val="1"/>
        <c:smooth val="0"/>
        <c:axId val="205874032"/>
        <c:axId val="205874416"/>
      </c:lineChart>
      <c:catAx>
        <c:axId val="205874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74416"/>
        <c:crosses val="autoZero"/>
        <c:auto val="1"/>
        <c:lblAlgn val="ctr"/>
        <c:lblOffset val="100"/>
        <c:noMultiLvlLbl val="0"/>
      </c:catAx>
      <c:valAx>
        <c:axId val="205874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Teachers of the Deaf</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874032"/>
        <c:crosses val="autoZero"/>
        <c:crossBetween val="between"/>
      </c:valAx>
      <c:spPr>
        <a:noFill/>
        <a:ln>
          <a:noFill/>
        </a:ln>
        <a:effectLst/>
      </c:spPr>
    </c:plotArea>
    <c:legend>
      <c:legendPos val="b"/>
      <c:layout>
        <c:manualLayout>
          <c:xMode val="edge"/>
          <c:yMode val="edge"/>
          <c:x val="0.64904562835828894"/>
          <c:y val="0.30148973528388784"/>
          <c:w val="0.3496902439433876"/>
          <c:h val="0.30823174777447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6A10-5133-496F-B17C-3C56E700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Ian Noon</cp:lastModifiedBy>
  <cp:revision>7</cp:revision>
  <cp:lastPrinted>2018-10-23T08:18:00Z</cp:lastPrinted>
  <dcterms:created xsi:type="dcterms:W3CDTF">2018-10-10T08:50:00Z</dcterms:created>
  <dcterms:modified xsi:type="dcterms:W3CDTF">2018-10-23T10:18:00Z</dcterms:modified>
</cp:coreProperties>
</file>